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D538B" w14:textId="73011B4C" w:rsidR="007E43F1" w:rsidRPr="006A31EB" w:rsidRDefault="008205DA" w:rsidP="006A31EB">
      <w:pPr>
        <w:pStyle w:val="Ttulo1"/>
        <w:spacing w:before="0"/>
        <w:jc w:val="center"/>
        <w:rPr>
          <w:rFonts w:ascii="Arial" w:hAnsi="Arial" w:cs="Arial"/>
          <w:sz w:val="24"/>
          <w:szCs w:val="24"/>
        </w:rPr>
      </w:pPr>
      <w:r w:rsidRPr="006A31EB">
        <w:rPr>
          <w:rFonts w:ascii="Arial" w:hAnsi="Arial" w:cs="Arial"/>
          <w:sz w:val="24"/>
          <w:szCs w:val="24"/>
        </w:rPr>
        <w:t xml:space="preserve">MODELO </w:t>
      </w:r>
      <w:r w:rsidR="00A82CF0">
        <w:rPr>
          <w:rFonts w:ascii="Arial" w:hAnsi="Arial" w:cs="Arial"/>
          <w:sz w:val="24"/>
          <w:szCs w:val="24"/>
        </w:rPr>
        <w:t>6B</w:t>
      </w:r>
    </w:p>
    <w:p w14:paraId="002FC506" w14:textId="551EEC55" w:rsidR="008205DA" w:rsidRPr="006A31EB" w:rsidRDefault="008205DA" w:rsidP="006A31EB">
      <w:pPr>
        <w:pStyle w:val="Ttulo1"/>
        <w:spacing w:before="0"/>
        <w:jc w:val="center"/>
        <w:rPr>
          <w:rFonts w:ascii="Arial" w:hAnsi="Arial" w:cs="Arial"/>
          <w:sz w:val="24"/>
          <w:szCs w:val="24"/>
        </w:rPr>
      </w:pPr>
      <w:r w:rsidRPr="006A31EB">
        <w:rPr>
          <w:rFonts w:ascii="Arial" w:hAnsi="Arial" w:cs="Arial"/>
          <w:sz w:val="24"/>
          <w:szCs w:val="24"/>
        </w:rPr>
        <w:t>RELATÓRIO ANUAL DE GESTÃO – UNIDADE RPPS</w:t>
      </w:r>
    </w:p>
    <w:p w14:paraId="2A81CEEA" w14:textId="779EE2DB" w:rsidR="008205DA" w:rsidRPr="006A31EB" w:rsidRDefault="008205DA" w:rsidP="006A31EB">
      <w:pPr>
        <w:pStyle w:val="Ttulo2"/>
        <w:spacing w:before="0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A31EB">
        <w:rPr>
          <w:rFonts w:ascii="Arial" w:hAnsi="Arial" w:cs="Arial"/>
          <w:color w:val="365F91" w:themeColor="accent1" w:themeShade="BF"/>
          <w:sz w:val="24"/>
          <w:szCs w:val="24"/>
        </w:rPr>
        <w:t>CONTEÚDO MÍNIMO</w:t>
      </w:r>
    </w:p>
    <w:p w14:paraId="2368D1EC" w14:textId="77777777" w:rsidR="005B5AD3" w:rsidRDefault="005B5AD3" w:rsidP="005B5AD3">
      <w:pPr>
        <w:jc w:val="both"/>
        <w:rPr>
          <w:rFonts w:eastAsiaTheme="majorEastAsia" w:cs="Arial"/>
          <w:b/>
          <w:bCs/>
          <w:color w:val="365F91" w:themeColor="accent1" w:themeShade="BF"/>
          <w:szCs w:val="24"/>
        </w:rPr>
      </w:pPr>
    </w:p>
    <w:p w14:paraId="291D4179" w14:textId="4B75942A" w:rsidR="005B5AD3" w:rsidRPr="00CD2729" w:rsidRDefault="005B5AD3" w:rsidP="005B5AD3">
      <w:pPr>
        <w:jc w:val="both"/>
        <w:rPr>
          <w:rFonts w:eastAsiaTheme="majorEastAsia" w:cs="Arial"/>
          <w:b/>
          <w:bCs/>
          <w:szCs w:val="24"/>
        </w:rPr>
      </w:pPr>
      <w:r w:rsidRPr="00CD2729">
        <w:rPr>
          <w:rFonts w:eastAsiaTheme="majorEastAsia" w:cs="Arial"/>
          <w:b/>
          <w:bCs/>
          <w:szCs w:val="24"/>
        </w:rPr>
        <w:t>I</w:t>
      </w:r>
      <w:r w:rsidR="00CD2729" w:rsidRPr="00CD2729">
        <w:rPr>
          <w:rFonts w:eastAsiaTheme="majorEastAsia" w:cs="Arial"/>
          <w:b/>
          <w:bCs/>
          <w:szCs w:val="24"/>
        </w:rPr>
        <w:t xml:space="preserve"> – I</w:t>
      </w:r>
      <w:r w:rsidRPr="00CD2729">
        <w:rPr>
          <w:rFonts w:eastAsiaTheme="majorEastAsia" w:cs="Arial"/>
          <w:b/>
          <w:bCs/>
          <w:szCs w:val="24"/>
        </w:rPr>
        <w:t>dentificação</w:t>
      </w:r>
      <w:r w:rsidR="00651312">
        <w:rPr>
          <w:rFonts w:eastAsiaTheme="majorEastAsia" w:cs="Arial"/>
          <w:b/>
          <w:bCs/>
          <w:szCs w:val="24"/>
        </w:rPr>
        <w:t>:</w:t>
      </w:r>
      <w:r w:rsidR="00CD2729" w:rsidRPr="00CD2729">
        <w:rPr>
          <w:rFonts w:eastAsiaTheme="majorEastAsia" w:cs="Arial"/>
          <w:b/>
          <w:bCs/>
          <w:szCs w:val="24"/>
        </w:rPr>
        <w:t xml:space="preserve"> </w:t>
      </w:r>
    </w:p>
    <w:p w14:paraId="6D4F4F5F" w14:textId="77777777" w:rsidR="00A461F9" w:rsidRPr="00A461F9" w:rsidRDefault="00A461F9" w:rsidP="00A461F9">
      <w:pPr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298"/>
      </w:tblGrid>
      <w:tr w:rsidR="00A461F9" w:rsidRPr="00A461F9" w14:paraId="25B2E605" w14:textId="77777777" w:rsidTr="00D96AE3">
        <w:trPr>
          <w:trHeight w:val="340"/>
        </w:trPr>
        <w:tc>
          <w:tcPr>
            <w:tcW w:w="1035" w:type="pct"/>
            <w:vAlign w:val="center"/>
          </w:tcPr>
          <w:p w14:paraId="16A4E7C6" w14:textId="77777777" w:rsidR="00A461F9" w:rsidRPr="00CD2729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CD2729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Entidade:</w:t>
            </w:r>
          </w:p>
        </w:tc>
        <w:tc>
          <w:tcPr>
            <w:tcW w:w="3965" w:type="pct"/>
            <w:vAlign w:val="center"/>
          </w:tcPr>
          <w:p w14:paraId="4F5C5EEF" w14:textId="77777777" w:rsidR="00A461F9" w:rsidRPr="00CD2729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65C368B5" w14:textId="77777777" w:rsidTr="00D96AE3">
        <w:trPr>
          <w:trHeight w:val="340"/>
        </w:trPr>
        <w:tc>
          <w:tcPr>
            <w:tcW w:w="1035" w:type="pct"/>
            <w:vAlign w:val="center"/>
          </w:tcPr>
          <w:p w14:paraId="5B2F1692" w14:textId="77777777" w:rsidR="00A461F9" w:rsidRPr="00CD2729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CD2729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3965" w:type="pct"/>
            <w:vAlign w:val="center"/>
          </w:tcPr>
          <w:p w14:paraId="3881C731" w14:textId="77777777" w:rsidR="00A461F9" w:rsidRPr="00CD2729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0A3F74DF" w14:textId="77777777" w:rsidTr="00D96AE3">
        <w:trPr>
          <w:trHeight w:val="340"/>
        </w:trPr>
        <w:tc>
          <w:tcPr>
            <w:tcW w:w="1035" w:type="pct"/>
            <w:vAlign w:val="center"/>
          </w:tcPr>
          <w:p w14:paraId="1494D3A7" w14:textId="77777777" w:rsidR="00A461F9" w:rsidRPr="00CD2729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CD2729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3965" w:type="pct"/>
            <w:vAlign w:val="center"/>
          </w:tcPr>
          <w:p w14:paraId="2C8876B9" w14:textId="77777777" w:rsidR="00A461F9" w:rsidRPr="00CD2729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7ED3CB2C" w14:textId="77777777" w:rsidTr="00D96AE3">
        <w:trPr>
          <w:trHeight w:val="340"/>
        </w:trPr>
        <w:tc>
          <w:tcPr>
            <w:tcW w:w="1035" w:type="pct"/>
            <w:vAlign w:val="center"/>
          </w:tcPr>
          <w:p w14:paraId="3F734470" w14:textId="77777777" w:rsidR="00A461F9" w:rsidRPr="00CD2729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CD2729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3965" w:type="pct"/>
            <w:vAlign w:val="center"/>
          </w:tcPr>
          <w:p w14:paraId="441543B8" w14:textId="77777777" w:rsidR="00A461F9" w:rsidRPr="00CD2729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0842DA0A" w14:textId="77777777" w:rsidTr="00D96AE3">
        <w:trPr>
          <w:trHeight w:val="340"/>
        </w:trPr>
        <w:tc>
          <w:tcPr>
            <w:tcW w:w="1035" w:type="pct"/>
            <w:vAlign w:val="center"/>
          </w:tcPr>
          <w:p w14:paraId="1E265551" w14:textId="77777777" w:rsidR="00A461F9" w:rsidRPr="00CD2729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CD2729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3965" w:type="pct"/>
            <w:vAlign w:val="center"/>
          </w:tcPr>
          <w:p w14:paraId="3FA3C17E" w14:textId="77777777" w:rsidR="00A461F9" w:rsidRPr="00CD2729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5CC71285" w14:textId="77777777" w:rsidTr="00D96AE3">
        <w:trPr>
          <w:trHeight w:val="340"/>
        </w:trPr>
        <w:tc>
          <w:tcPr>
            <w:tcW w:w="1035" w:type="pct"/>
            <w:vAlign w:val="center"/>
          </w:tcPr>
          <w:p w14:paraId="07B36E41" w14:textId="77777777" w:rsidR="00A461F9" w:rsidRPr="00CD2729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CD2729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Sítio Eletrônico:</w:t>
            </w:r>
          </w:p>
        </w:tc>
        <w:tc>
          <w:tcPr>
            <w:tcW w:w="3965" w:type="pct"/>
            <w:vAlign w:val="center"/>
          </w:tcPr>
          <w:p w14:paraId="09996512" w14:textId="77777777" w:rsidR="00A461F9" w:rsidRPr="00CD2729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</w:tbl>
    <w:p w14:paraId="5C1E4DE2" w14:textId="77777777" w:rsidR="00A461F9" w:rsidRPr="00A461F9" w:rsidRDefault="00A461F9" w:rsidP="00A461F9">
      <w:pPr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1A794BE2" w14:textId="53534C77" w:rsidR="008205DA" w:rsidRPr="00CD2729" w:rsidRDefault="00CD2729" w:rsidP="007E43F1">
      <w:pPr>
        <w:jc w:val="both"/>
        <w:rPr>
          <w:rFonts w:eastAsiaTheme="majorEastAsia" w:cs="Arial"/>
          <w:b/>
          <w:bCs/>
          <w:szCs w:val="24"/>
        </w:rPr>
      </w:pPr>
      <w:r w:rsidRPr="00CD2729">
        <w:rPr>
          <w:rFonts w:eastAsiaTheme="majorEastAsia" w:cs="Arial"/>
          <w:b/>
          <w:bCs/>
          <w:szCs w:val="24"/>
        </w:rPr>
        <w:t>II –</w:t>
      </w:r>
      <w:r w:rsidR="005B5AD3" w:rsidRPr="00CD2729">
        <w:rPr>
          <w:rFonts w:eastAsiaTheme="majorEastAsia" w:cs="Arial"/>
          <w:b/>
          <w:bCs/>
          <w:szCs w:val="24"/>
        </w:rPr>
        <w:t xml:space="preserve"> </w:t>
      </w:r>
      <w:r w:rsidR="008205DA" w:rsidRPr="00CD2729">
        <w:rPr>
          <w:rFonts w:eastAsiaTheme="majorEastAsia" w:cs="Arial"/>
          <w:b/>
          <w:bCs/>
          <w:szCs w:val="24"/>
        </w:rPr>
        <w:t>Contextualização</w:t>
      </w:r>
      <w:r w:rsidR="00651312">
        <w:rPr>
          <w:rFonts w:eastAsiaTheme="majorEastAsia" w:cs="Arial"/>
          <w:b/>
          <w:bCs/>
          <w:szCs w:val="24"/>
        </w:rPr>
        <w:t>:</w:t>
      </w:r>
      <w:r w:rsidRPr="00CD2729">
        <w:rPr>
          <w:rFonts w:eastAsiaTheme="majorEastAsia" w:cs="Arial"/>
          <w:b/>
          <w:bCs/>
          <w:szCs w:val="24"/>
        </w:rPr>
        <w:t xml:space="preserve"> </w:t>
      </w:r>
    </w:p>
    <w:p w14:paraId="1A10C84B" w14:textId="5CC6D88A" w:rsidR="003E1B1A" w:rsidRPr="00CD2729" w:rsidRDefault="003E1B1A" w:rsidP="003E1B1A">
      <w:pPr>
        <w:pStyle w:val="Ttulo2"/>
        <w:numPr>
          <w:ilvl w:val="0"/>
          <w:numId w:val="11"/>
        </w:numPr>
        <w:spacing w:before="0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CD2729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Breve histórico de criação e base legal.</w:t>
      </w:r>
    </w:p>
    <w:p w14:paraId="3DA3E635" w14:textId="42B90ED0" w:rsidR="003E1B1A" w:rsidRPr="00CD2729" w:rsidRDefault="003E1B1A" w:rsidP="003E1B1A">
      <w:pPr>
        <w:pStyle w:val="Ttulo2"/>
        <w:numPr>
          <w:ilvl w:val="0"/>
          <w:numId w:val="11"/>
        </w:numPr>
        <w:spacing w:before="0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CD2729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Missão institucional, visão e valores.</w:t>
      </w:r>
    </w:p>
    <w:p w14:paraId="64289680" w14:textId="78D4C2B6" w:rsidR="006A31EB" w:rsidRPr="00CD2729" w:rsidRDefault="006A31EB" w:rsidP="003E1B1A">
      <w:pPr>
        <w:pStyle w:val="Ttulo2"/>
        <w:numPr>
          <w:ilvl w:val="0"/>
          <w:numId w:val="11"/>
        </w:numPr>
        <w:spacing w:before="0"/>
        <w:jc w:val="both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CD2729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Apresentar uma síntese da situação do RPPS no exercício.</w:t>
      </w:r>
    </w:p>
    <w:p w14:paraId="425D2E63" w14:textId="77777777" w:rsidR="003E1B1A" w:rsidRPr="00CD2729" w:rsidRDefault="003E1B1A" w:rsidP="003E1B1A">
      <w:pPr>
        <w:rPr>
          <w:color w:val="365F91" w:themeColor="accent1" w:themeShade="BF"/>
        </w:rPr>
      </w:pPr>
    </w:p>
    <w:p w14:paraId="60BDB940" w14:textId="3DA954E3" w:rsidR="006738C4" w:rsidRPr="00CD2729" w:rsidRDefault="00CD2729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CD2729">
        <w:rPr>
          <w:rFonts w:ascii="Arial" w:hAnsi="Arial" w:cs="Arial"/>
          <w:color w:val="auto"/>
          <w:sz w:val="24"/>
          <w:szCs w:val="24"/>
        </w:rPr>
        <w:t>III -</w:t>
      </w:r>
      <w:r w:rsidR="008205DA" w:rsidRPr="00CD2729">
        <w:rPr>
          <w:rFonts w:ascii="Arial" w:hAnsi="Arial" w:cs="Arial"/>
          <w:color w:val="auto"/>
          <w:sz w:val="24"/>
          <w:szCs w:val="24"/>
        </w:rPr>
        <w:t xml:space="preserve"> Dos Responsáveis</w:t>
      </w:r>
      <w:r w:rsidR="00651312">
        <w:rPr>
          <w:rFonts w:ascii="Arial" w:hAnsi="Arial" w:cs="Arial"/>
          <w:color w:val="auto"/>
          <w:sz w:val="24"/>
          <w:szCs w:val="24"/>
        </w:rPr>
        <w:t>:</w:t>
      </w:r>
      <w:r w:rsidRPr="00CD272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21C6FE8" w14:textId="373954C7" w:rsidR="006A31EB" w:rsidRPr="00CD2729" w:rsidRDefault="006A1F87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6A31EB">
        <w:rPr>
          <w:rFonts w:cs="Arial"/>
          <w:szCs w:val="24"/>
        </w:rPr>
        <w:br/>
      </w:r>
      <w:r w:rsidRPr="00CD2729">
        <w:rPr>
          <w:rFonts w:cs="Arial"/>
          <w:color w:val="365F91" w:themeColor="accent1" w:themeShade="BF"/>
          <w:sz w:val="20"/>
          <w:szCs w:val="20"/>
        </w:rPr>
        <w:t>Informar os responsáveis pela gestão do RPPS durante o exercício, incluindo o dirigente máximo da unidade gestora, diretores, bem como o período de exercício de cada um</w:t>
      </w:r>
      <w:r w:rsidR="008205DA" w:rsidRPr="00CD2729">
        <w:rPr>
          <w:rFonts w:cs="Arial"/>
          <w:color w:val="365F91" w:themeColor="accent1" w:themeShade="BF"/>
          <w:sz w:val="20"/>
          <w:szCs w:val="20"/>
        </w:rPr>
        <w:t>, acompanhado das certificações vigentes.</w:t>
      </w:r>
    </w:p>
    <w:p w14:paraId="3DF1504D" w14:textId="77777777" w:rsidR="006A31EB" w:rsidRDefault="006A31EB" w:rsidP="007E43F1">
      <w:pPr>
        <w:jc w:val="both"/>
        <w:rPr>
          <w:rFonts w:cs="Arial"/>
          <w:szCs w:val="24"/>
        </w:rPr>
      </w:pPr>
    </w:p>
    <w:p w14:paraId="37F5DB61" w14:textId="242A5245" w:rsidR="006738C4" w:rsidRPr="00CD2729" w:rsidRDefault="00CD2729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CD2729">
        <w:rPr>
          <w:rFonts w:ascii="Arial" w:hAnsi="Arial" w:cs="Arial"/>
          <w:color w:val="auto"/>
          <w:sz w:val="24"/>
          <w:szCs w:val="24"/>
        </w:rPr>
        <w:t>IV -</w:t>
      </w:r>
      <w:r w:rsidR="006A1F87" w:rsidRPr="00CD2729">
        <w:rPr>
          <w:rFonts w:ascii="Arial" w:hAnsi="Arial" w:cs="Arial"/>
          <w:color w:val="auto"/>
          <w:sz w:val="24"/>
          <w:szCs w:val="24"/>
        </w:rPr>
        <w:t xml:space="preserve"> Estruturas de Governança</w:t>
      </w:r>
      <w:r w:rsidR="00651312">
        <w:rPr>
          <w:rFonts w:ascii="Arial" w:hAnsi="Arial" w:cs="Arial"/>
          <w:color w:val="auto"/>
          <w:sz w:val="24"/>
          <w:szCs w:val="24"/>
        </w:rPr>
        <w:t>:</w:t>
      </w:r>
      <w:r w:rsidRPr="00CD272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EF5A580" w14:textId="57BB2488" w:rsidR="007E43F1" w:rsidRPr="00CD2729" w:rsidRDefault="006A1F87" w:rsidP="007E43F1">
      <w:pPr>
        <w:jc w:val="both"/>
        <w:rPr>
          <w:rFonts w:cs="Arial"/>
          <w:b/>
          <w:bCs/>
          <w:szCs w:val="24"/>
        </w:rPr>
      </w:pPr>
      <w:r w:rsidRPr="006A31EB">
        <w:rPr>
          <w:rFonts w:cs="Arial"/>
          <w:szCs w:val="24"/>
        </w:rPr>
        <w:br/>
      </w:r>
      <w:r w:rsidRPr="00CD2729">
        <w:rPr>
          <w:rFonts w:cs="Arial"/>
          <w:b/>
          <w:bCs/>
          <w:szCs w:val="24"/>
        </w:rPr>
        <w:t>Conselho Deliberativo</w:t>
      </w:r>
    </w:p>
    <w:p w14:paraId="13A7FD07" w14:textId="3675A2F6" w:rsidR="007E43F1" w:rsidRPr="00CD2729" w:rsidRDefault="00C036B9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CD2729">
        <w:rPr>
          <w:rFonts w:cs="Arial"/>
          <w:color w:val="365F91" w:themeColor="accent1" w:themeShade="BF"/>
          <w:sz w:val="20"/>
          <w:szCs w:val="20"/>
        </w:rPr>
        <w:t>Informar a função e l</w:t>
      </w:r>
      <w:r w:rsidR="006A1F87" w:rsidRPr="00CD2729">
        <w:rPr>
          <w:rFonts w:cs="Arial"/>
          <w:color w:val="365F91" w:themeColor="accent1" w:themeShade="BF"/>
          <w:sz w:val="20"/>
          <w:szCs w:val="20"/>
        </w:rPr>
        <w:t>istar os membros titulares e suplentes, seus mandatos, representações (servidores ativos, aposentados, Poder Executivo,</w:t>
      </w:r>
      <w:r w:rsidR="00D6420B" w:rsidRPr="00CD2729">
        <w:rPr>
          <w:rFonts w:cs="Arial"/>
          <w:color w:val="365F91" w:themeColor="accent1" w:themeShade="BF"/>
          <w:sz w:val="20"/>
          <w:szCs w:val="20"/>
        </w:rPr>
        <w:t xml:space="preserve"> </w:t>
      </w:r>
      <w:r w:rsidR="00D96AE3" w:rsidRPr="00CD2729">
        <w:rPr>
          <w:rFonts w:cs="Arial"/>
          <w:color w:val="365F91" w:themeColor="accent1" w:themeShade="BF"/>
          <w:sz w:val="20"/>
          <w:szCs w:val="20"/>
        </w:rPr>
        <w:t>Poder Legislativo etc.</w:t>
      </w:r>
      <w:r w:rsidR="006A1F87" w:rsidRPr="00CD2729">
        <w:rPr>
          <w:rFonts w:cs="Arial"/>
          <w:color w:val="365F91" w:themeColor="accent1" w:themeShade="BF"/>
          <w:sz w:val="20"/>
          <w:szCs w:val="20"/>
        </w:rPr>
        <w:t>)</w:t>
      </w:r>
      <w:r w:rsidR="006A31EB" w:rsidRPr="00CD2729">
        <w:rPr>
          <w:rFonts w:cs="Arial"/>
          <w:color w:val="365F91" w:themeColor="accent1" w:themeShade="BF"/>
          <w:sz w:val="20"/>
          <w:szCs w:val="20"/>
        </w:rPr>
        <w:t>, certificações vigentes</w:t>
      </w:r>
      <w:r w:rsidR="006A1F87" w:rsidRPr="00CD2729">
        <w:rPr>
          <w:rFonts w:cs="Arial"/>
          <w:color w:val="365F91" w:themeColor="accent1" w:themeShade="BF"/>
          <w:sz w:val="20"/>
          <w:szCs w:val="20"/>
        </w:rPr>
        <w:t xml:space="preserve"> e a frequência de reuniões realizadas no exercício.</w:t>
      </w:r>
    </w:p>
    <w:p w14:paraId="22CC5683" w14:textId="40C885F5" w:rsidR="007E43F1" w:rsidRPr="00CD2729" w:rsidRDefault="006A1F87" w:rsidP="007E43F1">
      <w:pPr>
        <w:jc w:val="both"/>
        <w:rPr>
          <w:rFonts w:cs="Arial"/>
          <w:b/>
          <w:bCs/>
          <w:szCs w:val="24"/>
        </w:rPr>
      </w:pPr>
      <w:r w:rsidRPr="006A31EB">
        <w:rPr>
          <w:rFonts w:cs="Arial"/>
          <w:szCs w:val="24"/>
        </w:rPr>
        <w:br/>
      </w:r>
      <w:r w:rsidRPr="00CD2729">
        <w:rPr>
          <w:rFonts w:cs="Arial"/>
          <w:b/>
          <w:bCs/>
          <w:szCs w:val="24"/>
        </w:rPr>
        <w:t>Conselho Fiscal</w:t>
      </w:r>
    </w:p>
    <w:p w14:paraId="0DA99EFF" w14:textId="10731C02" w:rsidR="006A31EB" w:rsidRPr="00CD2729" w:rsidRDefault="00A6037D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CD2729">
        <w:rPr>
          <w:rFonts w:cs="Arial"/>
          <w:color w:val="365F91" w:themeColor="accent1" w:themeShade="BF"/>
          <w:sz w:val="20"/>
          <w:szCs w:val="20"/>
        </w:rPr>
        <w:t>Informar a função e r</w:t>
      </w:r>
      <w:r w:rsidR="006A1F87" w:rsidRPr="00CD2729">
        <w:rPr>
          <w:rFonts w:cs="Arial"/>
          <w:color w:val="365F91" w:themeColor="accent1" w:themeShade="BF"/>
          <w:sz w:val="20"/>
          <w:szCs w:val="20"/>
        </w:rPr>
        <w:t>elacionar os membros, indicando mandato e representatividade, bem como o número de reuniões e pareceres emitidos no período.</w:t>
      </w:r>
    </w:p>
    <w:p w14:paraId="11C15C96" w14:textId="0A0EDE78" w:rsidR="007E43F1" w:rsidRPr="006A31EB" w:rsidRDefault="006A1F87" w:rsidP="007E43F1">
      <w:pPr>
        <w:jc w:val="both"/>
        <w:rPr>
          <w:rFonts w:cs="Arial"/>
          <w:b/>
          <w:bCs/>
          <w:color w:val="365F91" w:themeColor="accent1" w:themeShade="BF"/>
          <w:szCs w:val="24"/>
        </w:rPr>
      </w:pPr>
      <w:r w:rsidRPr="006A31EB">
        <w:rPr>
          <w:rFonts w:cs="Arial"/>
          <w:szCs w:val="24"/>
        </w:rPr>
        <w:br/>
      </w:r>
      <w:r w:rsidRPr="00CD2729">
        <w:rPr>
          <w:rFonts w:cs="Arial"/>
          <w:b/>
          <w:bCs/>
          <w:szCs w:val="24"/>
        </w:rPr>
        <w:t>Comitê de Investimentos</w:t>
      </w:r>
    </w:p>
    <w:p w14:paraId="53902033" w14:textId="77777777" w:rsidR="00A6037D" w:rsidRPr="00CD2729" w:rsidRDefault="00A6037D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CD2729">
        <w:rPr>
          <w:rFonts w:cs="Arial"/>
          <w:color w:val="365F91" w:themeColor="accent1" w:themeShade="BF"/>
          <w:sz w:val="20"/>
          <w:szCs w:val="20"/>
        </w:rPr>
        <w:lastRenderedPageBreak/>
        <w:t>Informar a função e relacionar</w:t>
      </w:r>
      <w:r w:rsidR="006A1F87" w:rsidRPr="00CD2729">
        <w:rPr>
          <w:rFonts w:cs="Arial"/>
          <w:color w:val="365F91" w:themeColor="accent1" w:themeShade="BF"/>
          <w:sz w:val="20"/>
          <w:szCs w:val="20"/>
        </w:rPr>
        <w:t xml:space="preserve"> os membros, certificações vigentes, reuniões realizadas e principais deliberações. Incluir síntese da política de investimentos vigente e dos critérios utilizados para a tomada de decisão, conforme Resolução CMN nº 4.963/2021.</w:t>
      </w:r>
    </w:p>
    <w:p w14:paraId="3B3B7799" w14:textId="5B30264F" w:rsidR="006738C4" w:rsidRDefault="006738C4" w:rsidP="007E43F1">
      <w:pPr>
        <w:jc w:val="both"/>
        <w:rPr>
          <w:rFonts w:cs="Arial"/>
          <w:szCs w:val="24"/>
        </w:rPr>
      </w:pPr>
    </w:p>
    <w:p w14:paraId="0DBC62A8" w14:textId="3692DD1D" w:rsidR="00EC3812" w:rsidRPr="00CD2729" w:rsidRDefault="00CD2729" w:rsidP="007E43F1">
      <w:pPr>
        <w:jc w:val="both"/>
        <w:rPr>
          <w:rFonts w:cs="Arial"/>
          <w:b/>
          <w:bCs/>
          <w:szCs w:val="24"/>
        </w:rPr>
      </w:pPr>
      <w:r w:rsidRPr="00CD2729">
        <w:rPr>
          <w:rFonts w:cs="Arial"/>
          <w:b/>
          <w:bCs/>
          <w:szCs w:val="24"/>
        </w:rPr>
        <w:t xml:space="preserve">V - </w:t>
      </w:r>
      <w:r w:rsidR="00EC3812" w:rsidRPr="00CD2729">
        <w:rPr>
          <w:rFonts w:cs="Arial"/>
          <w:b/>
          <w:bCs/>
          <w:szCs w:val="24"/>
        </w:rPr>
        <w:t>Planejamento Estratégico e Metas Institucionais:</w:t>
      </w:r>
    </w:p>
    <w:p w14:paraId="17656958" w14:textId="77777777" w:rsidR="008E6524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0379315E" w14:textId="054B2293" w:rsidR="008E6524" w:rsidRPr="00CD2729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 xml:space="preserve">Objetivo: 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demonstrar o alinhamento da gestão às diretrizes definidas pel</w:t>
      </w:r>
      <w:r w:rsid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o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</w:t>
      </w:r>
      <w:r w:rsidR="000F5AE9"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Conselho Deliberativo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 pelo Estatuto.</w:t>
      </w:r>
    </w:p>
    <w:p w14:paraId="5B67A516" w14:textId="77777777" w:rsidR="008E6524" w:rsidRPr="00CD2729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</w:p>
    <w:p w14:paraId="323510D7" w14:textId="77777777" w:rsidR="008E6524" w:rsidRPr="00CD2729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38D3C566" w14:textId="77777777" w:rsidR="008E6524" w:rsidRPr="00CD2729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Diretrizes e objetivos estratégicos fixados para o exercício (plano anual de trabalho).</w:t>
      </w:r>
    </w:p>
    <w:p w14:paraId="2F48A3DC" w14:textId="77777777" w:rsidR="008E6524" w:rsidRPr="00CD2729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Principais metas físicas e operacionais.</w:t>
      </w:r>
    </w:p>
    <w:p w14:paraId="10C3058B" w14:textId="77777777" w:rsidR="008E6524" w:rsidRPr="00CD2729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Indicadores de desempenho e critérios de avaliação adotados.</w:t>
      </w:r>
    </w:p>
    <w:p w14:paraId="24B85813" w14:textId="58C5E887" w:rsidR="008E6524" w:rsidRPr="00CD2729" w:rsidRDefault="008E6524" w:rsidP="008E6524">
      <w:pPr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Grau de cumprimento das metas, justificando desvios e medidas corretivas.</w:t>
      </w:r>
    </w:p>
    <w:p w14:paraId="118B3FBC" w14:textId="77777777" w:rsidR="00EC3812" w:rsidRDefault="00EC3812" w:rsidP="007E43F1">
      <w:pPr>
        <w:jc w:val="both"/>
        <w:rPr>
          <w:rFonts w:cs="Arial"/>
          <w:szCs w:val="24"/>
        </w:rPr>
      </w:pPr>
    </w:p>
    <w:p w14:paraId="112D635F" w14:textId="77777777" w:rsidR="00CD2729" w:rsidRDefault="00CD2729" w:rsidP="00CD2729">
      <w:pPr>
        <w:jc w:val="both"/>
        <w:rPr>
          <w:rFonts w:cs="Arial"/>
          <w:b/>
          <w:bCs/>
          <w:szCs w:val="24"/>
        </w:rPr>
      </w:pPr>
      <w:r w:rsidRPr="00CD2729">
        <w:rPr>
          <w:rFonts w:cs="Arial"/>
          <w:b/>
          <w:bCs/>
          <w:szCs w:val="24"/>
        </w:rPr>
        <w:t xml:space="preserve">VI - </w:t>
      </w:r>
      <w:r w:rsidR="00EC5226" w:rsidRPr="00CD2729">
        <w:rPr>
          <w:rFonts w:cs="Arial"/>
          <w:b/>
          <w:bCs/>
          <w:szCs w:val="24"/>
        </w:rPr>
        <w:t>Gestão Orçamentária e Financeira:</w:t>
      </w:r>
    </w:p>
    <w:p w14:paraId="7CAB18E8" w14:textId="3E63AE95" w:rsidR="002F7A3E" w:rsidRPr="00CD2729" w:rsidRDefault="002F7A3E" w:rsidP="00CD2729">
      <w:pPr>
        <w:jc w:val="both"/>
        <w:rPr>
          <w:rFonts w:cs="Arial"/>
          <w:b/>
          <w:bCs/>
          <w:color w:val="365F91" w:themeColor="accent1" w:themeShade="BF"/>
          <w:szCs w:val="24"/>
        </w:rPr>
      </w:pPr>
      <w:r w:rsidRPr="00CD2729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: evidenciar a execução do orçamento e a aplicação dos recursos públicos.</w:t>
      </w:r>
    </w:p>
    <w:p w14:paraId="4AE7701F" w14:textId="77777777" w:rsidR="002F7A3E" w:rsidRPr="00CD2729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2BC52835" w14:textId="77777777" w:rsidR="002F7A3E" w:rsidRPr="00CD2729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4C84AC59" w14:textId="6C6B2E6B" w:rsidR="002F7A3E" w:rsidRPr="00CD2729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Comentários sobre o valor do orçamento aprovado e atualizado.</w:t>
      </w:r>
    </w:p>
    <w:p w14:paraId="18D4A475" w14:textId="478F66EA" w:rsidR="002F7A3E" w:rsidRPr="00CD2729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Comparativo entre receitas orçadas e arrecadadas, com destaque para transferências</w:t>
      </w:r>
      <w:r w:rsidR="00F1312A"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30B5D2FA" w14:textId="4F1D5442" w:rsidR="002F7A3E" w:rsidRPr="00CD2729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 </w:t>
      </w:r>
      <w:r w:rsidR="00F1312A" w:rsidRPr="00CD2729">
        <w:rPr>
          <w:rFonts w:eastAsia="Times New Roman" w:cs="Arial"/>
          <w:color w:val="365F91" w:themeColor="accent1" w:themeShade="BF"/>
          <w:sz w:val="20"/>
          <w:szCs w:val="20"/>
          <w:lang w:eastAsia="pt-BR"/>
        </w:rPr>
        <w:t>Despesas previstas e executadas</w:t>
      </w:r>
      <w:r w:rsidR="00F1312A"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(custeio administrativo, </w:t>
      </w:r>
      <w:r w:rsidR="007F3E44"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benefícios etc.</w:t>
      </w:r>
      <w:r w:rsidR="00F1312A"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).</w:t>
      </w:r>
    </w:p>
    <w:p w14:paraId="4A6B9CAF" w14:textId="68485720" w:rsidR="002F7A3E" w:rsidRPr="00CD2729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Demonstração de eventuais restos a pagar, superávit/déficit e saldo financeiro</w:t>
      </w:r>
      <w:r w:rsidR="00F1312A"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do exercício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7EC584C1" w14:textId="66F98D17" w:rsidR="00F74831" w:rsidRPr="00CD2729" w:rsidRDefault="00F74831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 Apresentar o </w:t>
      </w:r>
      <w:r w:rsidRPr="00CD2729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resultado financeiro do exercício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(superávit ou déficit financeiro).</w:t>
      </w:r>
    </w:p>
    <w:p w14:paraId="2DCE62E9" w14:textId="1549F3CE" w:rsidR="003F285E" w:rsidRPr="00CD2729" w:rsidRDefault="003F285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-Em caso de </w:t>
      </w:r>
      <w:r w:rsidRPr="00CD2729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déficit financeiro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, apresentar o </w:t>
      </w:r>
      <w:r w:rsidRPr="00CD2729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plano de saneamento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 as </w:t>
      </w:r>
      <w:r w:rsidRPr="00CD2729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medidas adotadas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junto à prefeitura municipal.</w:t>
      </w:r>
    </w:p>
    <w:p w14:paraId="2EA0BF24" w14:textId="77777777" w:rsidR="00EC5226" w:rsidRPr="00EC5226" w:rsidRDefault="00EC5226" w:rsidP="00EC5226">
      <w:pPr>
        <w:jc w:val="both"/>
        <w:rPr>
          <w:rFonts w:cs="Arial"/>
          <w:bCs/>
          <w:szCs w:val="24"/>
        </w:rPr>
      </w:pPr>
    </w:p>
    <w:p w14:paraId="6E605B82" w14:textId="0624899F" w:rsidR="00EC5226" w:rsidRPr="00CD2729" w:rsidRDefault="00CD2729" w:rsidP="00EC5226">
      <w:pPr>
        <w:jc w:val="both"/>
        <w:rPr>
          <w:rFonts w:cs="Arial"/>
          <w:b/>
          <w:bCs/>
          <w:szCs w:val="24"/>
        </w:rPr>
      </w:pPr>
      <w:r w:rsidRPr="00CD2729">
        <w:rPr>
          <w:rFonts w:cs="Arial"/>
          <w:b/>
          <w:bCs/>
          <w:szCs w:val="24"/>
        </w:rPr>
        <w:t>VII</w:t>
      </w:r>
      <w:r w:rsidR="00EC5226" w:rsidRPr="00CD2729">
        <w:rPr>
          <w:rFonts w:cs="Arial"/>
          <w:b/>
          <w:bCs/>
          <w:szCs w:val="24"/>
        </w:rPr>
        <w:t xml:space="preserve"> - Gestão Administrativa e de Pessoal:</w:t>
      </w:r>
    </w:p>
    <w:p w14:paraId="01A3838A" w14:textId="77777777" w:rsidR="00EC5226" w:rsidRPr="00EC5226" w:rsidRDefault="00EC5226" w:rsidP="00EC5226">
      <w:pPr>
        <w:jc w:val="both"/>
        <w:rPr>
          <w:rFonts w:cs="Arial"/>
          <w:bCs/>
          <w:szCs w:val="24"/>
        </w:rPr>
      </w:pPr>
    </w:p>
    <w:p w14:paraId="7A200B6B" w14:textId="2C5A662C" w:rsidR="004D59D2" w:rsidRPr="00CD2729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</w:t>
      </w: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: </w:t>
      </w:r>
      <w:r w:rsidR="0053307A"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Apresentar a estrutura de pessoal e o cumprimento da política de recursos humanos.</w:t>
      </w:r>
    </w:p>
    <w:p w14:paraId="337D13CC" w14:textId="77777777" w:rsidR="0053307A" w:rsidRPr="00CD2729" w:rsidRDefault="0053307A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</w:p>
    <w:p w14:paraId="3A6304A1" w14:textId="77777777" w:rsidR="004D59D2" w:rsidRPr="00CD2729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03B5589A" w14:textId="77777777" w:rsidR="004D59D2" w:rsidRPr="00CD2729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Quadro de pessoal (efetivos, comissionados, cedidos e temporários).</w:t>
      </w:r>
    </w:p>
    <w:p w14:paraId="349A3668" w14:textId="3CB6C667" w:rsidR="00405E2E" w:rsidRPr="00CD2729" w:rsidRDefault="00405E2E" w:rsidP="00405E2E">
      <w:pPr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Ações de capacitação, seleção, avaliação e desenvolvimento realizadas no exercício, com destaque para as certificações profissionais.</w:t>
      </w:r>
    </w:p>
    <w:p w14:paraId="1B25F9EB" w14:textId="230E6261" w:rsidR="00405E2E" w:rsidRPr="00CD2729" w:rsidRDefault="00405E2E" w:rsidP="00405E2E">
      <w:pPr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D2729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Planejamento para realização de concurso público (se for o caso) ou medidas de reposição/otimização de pessoal.</w:t>
      </w:r>
    </w:p>
    <w:p w14:paraId="1E795D2A" w14:textId="77777777" w:rsidR="00EC3812" w:rsidRDefault="00EC3812" w:rsidP="007E43F1">
      <w:pPr>
        <w:jc w:val="both"/>
        <w:rPr>
          <w:rFonts w:cs="Arial"/>
          <w:szCs w:val="24"/>
        </w:rPr>
      </w:pPr>
    </w:p>
    <w:p w14:paraId="6BF48007" w14:textId="144D0BBC" w:rsidR="006738C4" w:rsidRPr="00184A7F" w:rsidRDefault="00184A7F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184A7F">
        <w:rPr>
          <w:rFonts w:ascii="Arial" w:hAnsi="Arial" w:cs="Arial"/>
          <w:color w:val="auto"/>
          <w:sz w:val="24"/>
          <w:szCs w:val="24"/>
        </w:rPr>
        <w:t>VIII</w:t>
      </w:r>
      <w:r>
        <w:rPr>
          <w:rFonts w:ascii="Arial" w:hAnsi="Arial" w:cs="Arial"/>
          <w:color w:val="auto"/>
          <w:sz w:val="24"/>
          <w:szCs w:val="24"/>
        </w:rPr>
        <w:t xml:space="preserve"> -</w:t>
      </w:r>
      <w:r w:rsidR="006A1F87" w:rsidRPr="00184A7F">
        <w:rPr>
          <w:rFonts w:ascii="Arial" w:hAnsi="Arial" w:cs="Arial"/>
          <w:color w:val="auto"/>
          <w:sz w:val="24"/>
          <w:szCs w:val="24"/>
        </w:rPr>
        <w:t xml:space="preserve"> Gestão de Investimentos</w:t>
      </w:r>
      <w:r w:rsidR="00651312">
        <w:rPr>
          <w:rFonts w:ascii="Arial" w:hAnsi="Arial" w:cs="Arial"/>
          <w:color w:val="auto"/>
          <w:sz w:val="24"/>
          <w:szCs w:val="24"/>
        </w:rPr>
        <w:t>:</w:t>
      </w:r>
    </w:p>
    <w:p w14:paraId="2969BF78" w14:textId="32FEFFBD" w:rsidR="00A11D6C" w:rsidRPr="00184A7F" w:rsidRDefault="006A1F87" w:rsidP="007E43F1">
      <w:pPr>
        <w:jc w:val="both"/>
        <w:rPr>
          <w:rFonts w:cs="Arial"/>
          <w:b/>
          <w:bCs/>
          <w:color w:val="365F91" w:themeColor="accent1" w:themeShade="BF"/>
          <w:sz w:val="20"/>
          <w:szCs w:val="20"/>
        </w:rPr>
      </w:pPr>
      <w:r w:rsidRPr="006A31EB">
        <w:rPr>
          <w:rFonts w:cs="Arial"/>
          <w:szCs w:val="24"/>
        </w:rPr>
        <w:br/>
      </w:r>
      <w:r w:rsidR="007E0687" w:rsidRPr="00184A7F">
        <w:rPr>
          <w:rFonts w:cs="Arial"/>
          <w:b/>
          <w:bCs/>
          <w:color w:val="365F91" w:themeColor="accent1" w:themeShade="BF"/>
          <w:sz w:val="20"/>
          <w:szCs w:val="20"/>
        </w:rPr>
        <w:t xml:space="preserve">Objeto: </w:t>
      </w:r>
      <w:r w:rsidR="00F45C79" w:rsidRPr="00184A7F">
        <w:rPr>
          <w:rFonts w:cs="Arial"/>
          <w:color w:val="365F91" w:themeColor="accent1" w:themeShade="BF"/>
          <w:sz w:val="20"/>
          <w:szCs w:val="20"/>
        </w:rPr>
        <w:t>Apresentar a performance da carteira de investimentos e os controles aplicados.</w:t>
      </w:r>
    </w:p>
    <w:p w14:paraId="0E8CFD2B" w14:textId="4434673F" w:rsidR="00B4585C" w:rsidRPr="00184A7F" w:rsidRDefault="00707589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Conteúdo Mínimo</w:t>
      </w:r>
      <w:r w:rsidR="00A11D6C" w:rsidRPr="00184A7F">
        <w:rPr>
          <w:rFonts w:cs="Arial"/>
          <w:b/>
          <w:bCs/>
          <w:color w:val="365F91" w:themeColor="accent1" w:themeShade="BF"/>
          <w:sz w:val="20"/>
          <w:szCs w:val="20"/>
        </w:rPr>
        <w:t>:</w:t>
      </w:r>
    </w:p>
    <w:p w14:paraId="4CA17651" w14:textId="07C41D7A" w:rsidR="00B4585C" w:rsidRPr="00184A7F" w:rsidRDefault="00707589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 xml:space="preserve">- </w:t>
      </w:r>
      <w:r w:rsidR="00B4585C" w:rsidRPr="00184A7F">
        <w:rPr>
          <w:rFonts w:cs="Arial"/>
          <w:color w:val="365F91" w:themeColor="accent1" w:themeShade="BF"/>
          <w:sz w:val="20"/>
          <w:szCs w:val="20"/>
        </w:rPr>
        <w:t>Informar os responsáveis pela gestão dos recursos do RPPS durante o exercício, bem como o período de exercício de cada um, acompanhado das certificações vigentes.</w:t>
      </w:r>
    </w:p>
    <w:p w14:paraId="49875884" w14:textId="0EC05C64" w:rsidR="006738C4" w:rsidRPr="00184A7F" w:rsidRDefault="00707589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 xml:space="preserve">- </w:t>
      </w:r>
      <w:r w:rsidR="001A59E3" w:rsidRPr="00184A7F">
        <w:rPr>
          <w:rFonts w:cs="Arial"/>
          <w:color w:val="365F91" w:themeColor="accent1" w:themeShade="BF"/>
          <w:sz w:val="20"/>
          <w:szCs w:val="20"/>
        </w:rPr>
        <w:t xml:space="preserve">Apresentar o </w:t>
      </w:r>
      <w:r w:rsidR="001A59E3" w:rsidRPr="00184A7F">
        <w:rPr>
          <w:rFonts w:cs="Arial"/>
          <w:b/>
          <w:bCs/>
          <w:color w:val="365F91" w:themeColor="accent1" w:themeShade="BF"/>
          <w:sz w:val="20"/>
          <w:szCs w:val="20"/>
        </w:rPr>
        <w:t>valor histórico da carteira de investimentos</w:t>
      </w:r>
      <w:r w:rsidR="001A59E3" w:rsidRPr="00184A7F">
        <w:rPr>
          <w:rFonts w:cs="Arial"/>
          <w:color w:val="365F91" w:themeColor="accent1" w:themeShade="BF"/>
          <w:sz w:val="20"/>
          <w:szCs w:val="20"/>
        </w:rPr>
        <w:t xml:space="preserve"> dos </w:t>
      </w:r>
      <w:r w:rsidR="001A59E3" w:rsidRPr="00184A7F">
        <w:rPr>
          <w:rFonts w:cs="Arial"/>
          <w:b/>
          <w:bCs/>
          <w:color w:val="365F91" w:themeColor="accent1" w:themeShade="BF"/>
          <w:sz w:val="20"/>
          <w:szCs w:val="20"/>
        </w:rPr>
        <w:t>últimos três exercícios</w:t>
      </w:r>
      <w:r w:rsidR="001A59E3" w:rsidRPr="00184A7F">
        <w:rPr>
          <w:rFonts w:cs="Arial"/>
          <w:color w:val="365F91" w:themeColor="accent1" w:themeShade="BF"/>
          <w:sz w:val="20"/>
          <w:szCs w:val="20"/>
        </w:rPr>
        <w:t xml:space="preserve">, demonstrando a </w:t>
      </w:r>
      <w:r w:rsidR="001A59E3" w:rsidRPr="00184A7F">
        <w:rPr>
          <w:rFonts w:cs="Arial"/>
          <w:b/>
          <w:bCs/>
          <w:color w:val="365F91" w:themeColor="accent1" w:themeShade="BF"/>
          <w:sz w:val="20"/>
          <w:szCs w:val="20"/>
        </w:rPr>
        <w:t>evolução patrimonial</w:t>
      </w:r>
      <w:r w:rsidR="001A59E3" w:rsidRPr="00184A7F">
        <w:rPr>
          <w:rFonts w:cs="Arial"/>
          <w:color w:val="365F91" w:themeColor="accent1" w:themeShade="BF"/>
          <w:sz w:val="20"/>
          <w:szCs w:val="20"/>
        </w:rPr>
        <w:t>.</w:t>
      </w:r>
    </w:p>
    <w:p w14:paraId="76AF102F" w14:textId="3321FA4A" w:rsidR="00B4585C" w:rsidRPr="00184A7F" w:rsidRDefault="00707589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 xml:space="preserve">- </w:t>
      </w:r>
      <w:r w:rsidR="001A59E3" w:rsidRPr="00184A7F">
        <w:rPr>
          <w:rFonts w:cs="Arial"/>
          <w:color w:val="365F91" w:themeColor="accent1" w:themeShade="BF"/>
          <w:sz w:val="20"/>
          <w:szCs w:val="20"/>
        </w:rPr>
        <w:t xml:space="preserve">Apresentar a </w:t>
      </w:r>
      <w:r w:rsidR="001A59E3" w:rsidRPr="00184A7F">
        <w:rPr>
          <w:rFonts w:cs="Arial"/>
          <w:b/>
          <w:bCs/>
          <w:color w:val="365F91" w:themeColor="accent1" w:themeShade="BF"/>
          <w:sz w:val="20"/>
          <w:szCs w:val="20"/>
        </w:rPr>
        <w:t>rentabilidade média obtida</w:t>
      </w:r>
      <w:r w:rsidR="001A59E3" w:rsidRPr="00184A7F">
        <w:rPr>
          <w:rFonts w:cs="Arial"/>
          <w:color w:val="365F91" w:themeColor="accent1" w:themeShade="BF"/>
          <w:sz w:val="20"/>
          <w:szCs w:val="20"/>
        </w:rPr>
        <w:t xml:space="preserve"> no exercício e a </w:t>
      </w:r>
      <w:r w:rsidR="001A59E3" w:rsidRPr="00184A7F">
        <w:rPr>
          <w:rFonts w:cs="Arial"/>
          <w:b/>
          <w:bCs/>
          <w:color w:val="365F91" w:themeColor="accent1" w:themeShade="BF"/>
          <w:sz w:val="20"/>
          <w:szCs w:val="20"/>
        </w:rPr>
        <w:t>comparação com a Meta Atuarial</w:t>
      </w:r>
      <w:r w:rsidR="001A59E3" w:rsidRPr="00184A7F">
        <w:rPr>
          <w:rFonts w:cs="Arial"/>
          <w:color w:val="365F91" w:themeColor="accent1" w:themeShade="BF"/>
          <w:sz w:val="20"/>
          <w:szCs w:val="20"/>
        </w:rPr>
        <w:t xml:space="preserve"> e com os índices de mercado (Benchmarks) definidos na Política de Investimentos.</w:t>
      </w:r>
    </w:p>
    <w:p w14:paraId="2AEEC0E5" w14:textId="0B0A5174" w:rsidR="001A59E3" w:rsidRPr="00184A7F" w:rsidRDefault="001A59E3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 xml:space="preserve">- Descrever as </w:t>
      </w: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medidas de controle de risco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, </w:t>
      </w:r>
      <w:r w:rsidRPr="00184A7F">
        <w:rPr>
          <w:rFonts w:cs="Arial"/>
          <w:i/>
          <w:iCs/>
          <w:color w:val="365F91" w:themeColor="accent1" w:themeShade="BF"/>
          <w:sz w:val="20"/>
          <w:szCs w:val="20"/>
        </w:rPr>
        <w:t>compliance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 e auditoria aplicadas à gestão de investimentos.</w:t>
      </w:r>
    </w:p>
    <w:p w14:paraId="6A117CDE" w14:textId="4F8D47A9" w:rsidR="00BC4AAA" w:rsidRPr="00184A7F" w:rsidRDefault="00BC4AAA" w:rsidP="007E43F1">
      <w:pPr>
        <w:jc w:val="both"/>
        <w:rPr>
          <w:rFonts w:cs="Arial"/>
          <w:b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>-Incluir a periodicidade das análises, os instrumentos de acompanhamento</w:t>
      </w:r>
      <w:r w:rsidR="00AB750C">
        <w:rPr>
          <w:rFonts w:cs="Arial"/>
          <w:color w:val="365F91" w:themeColor="accent1" w:themeShade="BF"/>
          <w:sz w:val="20"/>
          <w:szCs w:val="20"/>
        </w:rPr>
        <w:t>, em especial</w:t>
      </w:r>
      <w:r w:rsidR="00181D29">
        <w:rPr>
          <w:rFonts w:cs="Arial"/>
          <w:color w:val="365F91" w:themeColor="accent1" w:themeShade="BF"/>
          <w:sz w:val="20"/>
          <w:szCs w:val="20"/>
        </w:rPr>
        <w:t xml:space="preserve"> no que diz respeito às aplicações em fundos fechados para resgate </w:t>
      </w:r>
      <w:r w:rsidR="00181D29" w:rsidRPr="00181D29">
        <w:rPr>
          <w:rFonts w:cs="Arial"/>
          <w:b/>
          <w:color w:val="365F91" w:themeColor="accent1" w:themeShade="BF"/>
          <w:sz w:val="20"/>
          <w:szCs w:val="20"/>
        </w:rPr>
        <w:t>(se houver)</w:t>
      </w:r>
      <w:r w:rsidR="00181D29">
        <w:rPr>
          <w:rFonts w:cs="Arial"/>
          <w:color w:val="365F91" w:themeColor="accent1" w:themeShade="BF"/>
          <w:sz w:val="20"/>
          <w:szCs w:val="20"/>
        </w:rPr>
        <w:t>,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 e eventuais </w:t>
      </w: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 xml:space="preserve">correções </w:t>
      </w:r>
      <w:r w:rsidR="00184A7F" w:rsidRPr="00184A7F">
        <w:rPr>
          <w:rFonts w:cs="Arial"/>
          <w:b/>
          <w:bCs/>
          <w:color w:val="365F91" w:themeColor="accent1" w:themeShade="BF"/>
          <w:sz w:val="20"/>
          <w:szCs w:val="20"/>
        </w:rPr>
        <w:t xml:space="preserve">para o </w:t>
      </w: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desenquadramento</w:t>
      </w:r>
      <w:r w:rsidRPr="00184A7F">
        <w:rPr>
          <w:rFonts w:cs="Arial"/>
          <w:b/>
          <w:color w:val="365F91" w:themeColor="accent1" w:themeShade="BF"/>
          <w:sz w:val="20"/>
          <w:szCs w:val="20"/>
        </w:rPr>
        <w:t xml:space="preserve"> (se houver) em relação à Resolução CMN</w:t>
      </w:r>
      <w:r w:rsidR="00184A7F">
        <w:rPr>
          <w:rFonts w:cs="Arial"/>
          <w:b/>
          <w:color w:val="365F91" w:themeColor="accent1" w:themeShade="BF"/>
          <w:sz w:val="20"/>
          <w:szCs w:val="20"/>
        </w:rPr>
        <w:t xml:space="preserve"> n</w:t>
      </w:r>
      <w:r w:rsidR="00181D29">
        <w:rPr>
          <w:rFonts w:cs="Arial"/>
          <w:b/>
          <w:color w:val="365F91" w:themeColor="accent1" w:themeShade="BF"/>
          <w:sz w:val="20"/>
          <w:szCs w:val="20"/>
        </w:rPr>
        <w:t>.</w:t>
      </w:r>
      <w:r w:rsidR="00184A7F">
        <w:rPr>
          <w:rFonts w:cs="Arial"/>
          <w:b/>
          <w:color w:val="365F91" w:themeColor="accent1" w:themeShade="BF"/>
          <w:sz w:val="20"/>
          <w:szCs w:val="20"/>
        </w:rPr>
        <w:t>° 4.963/2021.</w:t>
      </w:r>
    </w:p>
    <w:p w14:paraId="7EE022F5" w14:textId="77777777" w:rsidR="00F03807" w:rsidRDefault="00F03807" w:rsidP="007E43F1">
      <w:pPr>
        <w:pStyle w:val="Ttulo2"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</w:p>
    <w:p w14:paraId="1AFD0B61" w14:textId="6AC7E969" w:rsidR="006738C4" w:rsidRPr="00184A7F" w:rsidRDefault="00184A7F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184A7F">
        <w:rPr>
          <w:rFonts w:ascii="Arial" w:hAnsi="Arial" w:cs="Arial"/>
          <w:color w:val="auto"/>
          <w:sz w:val="24"/>
          <w:szCs w:val="24"/>
        </w:rPr>
        <w:t>IX -</w:t>
      </w:r>
      <w:r w:rsidR="006A1F87" w:rsidRPr="00184A7F">
        <w:rPr>
          <w:rFonts w:ascii="Arial" w:hAnsi="Arial" w:cs="Arial"/>
          <w:color w:val="auto"/>
          <w:sz w:val="24"/>
          <w:szCs w:val="24"/>
        </w:rPr>
        <w:t xml:space="preserve"> Gestão Atuarial e </w:t>
      </w:r>
      <w:r w:rsidR="00866219" w:rsidRPr="00184A7F">
        <w:rPr>
          <w:rFonts w:ascii="Arial" w:hAnsi="Arial" w:cs="Arial"/>
          <w:color w:val="auto"/>
          <w:sz w:val="24"/>
          <w:szCs w:val="24"/>
        </w:rPr>
        <w:t>Previdenciária</w:t>
      </w:r>
      <w:r w:rsidR="00651312">
        <w:rPr>
          <w:rFonts w:ascii="Arial" w:hAnsi="Arial" w:cs="Arial"/>
          <w:color w:val="auto"/>
          <w:sz w:val="24"/>
          <w:szCs w:val="24"/>
        </w:rPr>
        <w:t>:</w:t>
      </w:r>
    </w:p>
    <w:p w14:paraId="5807C409" w14:textId="580E5B46" w:rsidR="00A11D6C" w:rsidRPr="00184A7F" w:rsidRDefault="006A1F87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6A31EB">
        <w:rPr>
          <w:rFonts w:cs="Arial"/>
          <w:szCs w:val="24"/>
        </w:rPr>
        <w:br/>
      </w:r>
      <w:r w:rsidR="007E0687" w:rsidRPr="00184A7F">
        <w:rPr>
          <w:rFonts w:cs="Arial"/>
          <w:b/>
          <w:color w:val="365F91" w:themeColor="accent1" w:themeShade="BF"/>
          <w:sz w:val="20"/>
          <w:szCs w:val="20"/>
        </w:rPr>
        <w:t>Objetivo</w:t>
      </w:r>
      <w:r w:rsidR="007E0687" w:rsidRPr="00184A7F">
        <w:rPr>
          <w:rFonts w:cs="Arial"/>
          <w:color w:val="365F91" w:themeColor="accent1" w:themeShade="BF"/>
          <w:sz w:val="20"/>
          <w:szCs w:val="20"/>
        </w:rPr>
        <w:t>:</w:t>
      </w:r>
      <w:r w:rsidR="00BC4AAA" w:rsidRPr="00184A7F">
        <w:rPr>
          <w:color w:val="365F91" w:themeColor="accent1" w:themeShade="BF"/>
        </w:rPr>
        <w:t xml:space="preserve"> </w:t>
      </w:r>
      <w:r w:rsidR="00BC4AAA" w:rsidRPr="00184A7F">
        <w:rPr>
          <w:rFonts w:cs="Arial"/>
          <w:color w:val="365F91" w:themeColor="accent1" w:themeShade="BF"/>
          <w:sz w:val="20"/>
          <w:szCs w:val="20"/>
        </w:rPr>
        <w:t>Analisar a sustentabilidade do RPPS.</w:t>
      </w:r>
    </w:p>
    <w:p w14:paraId="32F2C154" w14:textId="77777777" w:rsidR="007E0687" w:rsidRPr="00184A7F" w:rsidRDefault="00D96337" w:rsidP="007E43F1">
      <w:pPr>
        <w:jc w:val="both"/>
        <w:rPr>
          <w:rFonts w:cs="Arial"/>
          <w:b/>
          <w:color w:val="365F91" w:themeColor="accent1" w:themeShade="BF"/>
          <w:sz w:val="20"/>
          <w:szCs w:val="20"/>
        </w:rPr>
      </w:pPr>
      <w:r w:rsidRPr="00184A7F">
        <w:rPr>
          <w:rFonts w:cs="Arial"/>
          <w:b/>
          <w:color w:val="365F91" w:themeColor="accent1" w:themeShade="BF"/>
          <w:sz w:val="20"/>
          <w:szCs w:val="20"/>
        </w:rPr>
        <w:t>Conteúdo mínimo:</w:t>
      </w:r>
    </w:p>
    <w:p w14:paraId="030D038D" w14:textId="114B453B" w:rsidR="00277FB2" w:rsidRPr="00184A7F" w:rsidRDefault="00277FB2" w:rsidP="00277FB2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- Demonstrativo do número de segurados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 por situação (ativos, aposentados, pensionistas) e por regime financeiro (Repartição, </w:t>
      </w:r>
      <w:r w:rsidR="007F3E44" w:rsidRPr="00184A7F">
        <w:rPr>
          <w:rFonts w:cs="Arial"/>
          <w:color w:val="365F91" w:themeColor="accent1" w:themeShade="BF"/>
          <w:sz w:val="20"/>
          <w:szCs w:val="20"/>
        </w:rPr>
        <w:t>Capitalização etc.</w:t>
      </w:r>
      <w:r w:rsidRPr="00184A7F">
        <w:rPr>
          <w:rFonts w:cs="Arial"/>
          <w:color w:val="365F91" w:themeColor="accent1" w:themeShade="BF"/>
          <w:sz w:val="20"/>
          <w:szCs w:val="20"/>
        </w:rPr>
        <w:t>).</w:t>
      </w:r>
    </w:p>
    <w:p w14:paraId="2FC8FD96" w14:textId="2354B0BD" w:rsidR="00277FB2" w:rsidRPr="00184A7F" w:rsidRDefault="00277FB2" w:rsidP="00277FB2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 xml:space="preserve">- Informar o </w:t>
      </w: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resultado atuarial do exercício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 (déficit ou superávit atuarial), em comparação com os exercícios anteriores.</w:t>
      </w:r>
    </w:p>
    <w:p w14:paraId="4CB538FC" w14:textId="4851EB3E" w:rsidR="00277FB2" w:rsidRPr="00184A7F" w:rsidRDefault="00277FB2" w:rsidP="00277FB2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 xml:space="preserve">- Em caso de </w:t>
      </w: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déficit atuarial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, detalhar as </w:t>
      </w: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causas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, o </w:t>
      </w: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valor atualizado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 e as </w:t>
      </w:r>
      <w:r w:rsidRPr="00184A7F">
        <w:rPr>
          <w:rFonts w:cs="Arial"/>
          <w:b/>
          <w:bCs/>
          <w:color w:val="365F91" w:themeColor="accent1" w:themeShade="BF"/>
          <w:sz w:val="20"/>
          <w:szCs w:val="20"/>
        </w:rPr>
        <w:t>medidas adotadas para o equacionamento</w:t>
      </w:r>
      <w:r w:rsidRPr="00184A7F">
        <w:rPr>
          <w:rFonts w:cs="Arial"/>
          <w:color w:val="365F91" w:themeColor="accent1" w:themeShade="BF"/>
          <w:sz w:val="20"/>
          <w:szCs w:val="20"/>
        </w:rPr>
        <w:t xml:space="preserve"> (aumento de alíquota, aportes extraordinários, revisão de premissas, segregação de </w:t>
      </w:r>
      <w:r w:rsidR="007F3E44" w:rsidRPr="00184A7F">
        <w:rPr>
          <w:rFonts w:cs="Arial"/>
          <w:color w:val="365F91" w:themeColor="accent1" w:themeShade="BF"/>
          <w:sz w:val="20"/>
          <w:szCs w:val="20"/>
        </w:rPr>
        <w:t>massas etc.</w:t>
      </w:r>
      <w:r w:rsidRPr="00184A7F">
        <w:rPr>
          <w:rFonts w:cs="Arial"/>
          <w:color w:val="365F91" w:themeColor="accent1" w:themeShade="BF"/>
          <w:sz w:val="20"/>
          <w:szCs w:val="20"/>
        </w:rPr>
        <w:t>).</w:t>
      </w:r>
    </w:p>
    <w:p w14:paraId="7CA21A13" w14:textId="10B68E80" w:rsidR="007E0687" w:rsidRPr="00184A7F" w:rsidRDefault="007E0687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 xml:space="preserve">- </w:t>
      </w:r>
      <w:r w:rsidR="006A1F87" w:rsidRPr="00184A7F">
        <w:rPr>
          <w:rFonts w:cs="Arial"/>
          <w:color w:val="365F91" w:themeColor="accent1" w:themeShade="BF"/>
          <w:sz w:val="20"/>
          <w:szCs w:val="20"/>
        </w:rPr>
        <w:t xml:space="preserve">Demonstrar o </w:t>
      </w:r>
      <w:r w:rsidR="006A1F87" w:rsidRPr="00184A7F">
        <w:rPr>
          <w:rFonts w:cs="Arial"/>
          <w:b/>
          <w:color w:val="365F91" w:themeColor="accent1" w:themeShade="BF"/>
          <w:sz w:val="20"/>
          <w:szCs w:val="20"/>
        </w:rPr>
        <w:t>resultado financeiro do exercício</w:t>
      </w:r>
      <w:r w:rsidR="006A1F87" w:rsidRPr="00184A7F">
        <w:rPr>
          <w:rFonts w:cs="Arial"/>
          <w:color w:val="365F91" w:themeColor="accent1" w:themeShade="BF"/>
          <w:sz w:val="20"/>
          <w:szCs w:val="20"/>
        </w:rPr>
        <w:t xml:space="preserve"> (superávit ou déficit</w:t>
      </w:r>
      <w:r w:rsidR="008E1096" w:rsidRPr="00184A7F">
        <w:rPr>
          <w:rFonts w:cs="Arial"/>
          <w:color w:val="365F91" w:themeColor="accent1" w:themeShade="BF"/>
          <w:sz w:val="20"/>
          <w:szCs w:val="20"/>
        </w:rPr>
        <w:t xml:space="preserve"> financeiro)</w:t>
      </w:r>
      <w:r w:rsidR="006A1F87" w:rsidRPr="00184A7F">
        <w:rPr>
          <w:rFonts w:cs="Arial"/>
          <w:color w:val="365F91" w:themeColor="accent1" w:themeShade="BF"/>
          <w:sz w:val="20"/>
          <w:szCs w:val="20"/>
        </w:rPr>
        <w:t>. Em caso de déficit financeiro, apresentar o plano de saneamento</w:t>
      </w:r>
      <w:r w:rsidR="00B4585C" w:rsidRPr="00184A7F">
        <w:rPr>
          <w:rFonts w:cs="Arial"/>
          <w:color w:val="365F91" w:themeColor="accent1" w:themeShade="BF"/>
          <w:sz w:val="20"/>
          <w:szCs w:val="20"/>
        </w:rPr>
        <w:t xml:space="preserve"> e as medidas adotadas junto à prefeitura municipal</w:t>
      </w:r>
      <w:r w:rsidR="006A1F87" w:rsidRPr="00184A7F">
        <w:rPr>
          <w:rFonts w:cs="Arial"/>
          <w:color w:val="365F91" w:themeColor="accent1" w:themeShade="BF"/>
          <w:sz w:val="20"/>
          <w:szCs w:val="20"/>
        </w:rPr>
        <w:t>, conforme parâmetros da Nota Técnica</w:t>
      </w:r>
      <w:r w:rsidR="007F3E44" w:rsidRPr="00184A7F">
        <w:rPr>
          <w:rFonts w:cs="Arial"/>
          <w:color w:val="365F91" w:themeColor="accent1" w:themeShade="BF"/>
          <w:sz w:val="20"/>
          <w:szCs w:val="20"/>
        </w:rPr>
        <w:t xml:space="preserve"> TCE-RJ</w:t>
      </w:r>
      <w:r w:rsidR="006A1F87" w:rsidRPr="00184A7F">
        <w:rPr>
          <w:rFonts w:cs="Arial"/>
          <w:color w:val="365F91" w:themeColor="accent1" w:themeShade="BF"/>
          <w:sz w:val="20"/>
          <w:szCs w:val="20"/>
        </w:rPr>
        <w:t xml:space="preserve"> n</w:t>
      </w:r>
      <w:r w:rsidR="00184A7F">
        <w:rPr>
          <w:rFonts w:cs="Arial"/>
          <w:color w:val="365F91" w:themeColor="accent1" w:themeShade="BF"/>
          <w:sz w:val="20"/>
          <w:szCs w:val="20"/>
        </w:rPr>
        <w:t>.</w:t>
      </w:r>
      <w:r w:rsidR="006A1F87" w:rsidRPr="00184A7F">
        <w:rPr>
          <w:rFonts w:cs="Arial"/>
          <w:color w:val="365F91" w:themeColor="accent1" w:themeShade="BF"/>
          <w:sz w:val="20"/>
          <w:szCs w:val="20"/>
        </w:rPr>
        <w:t>º 7/2023.</w:t>
      </w:r>
    </w:p>
    <w:p w14:paraId="559B2C49" w14:textId="7939EDC3" w:rsidR="006738C4" w:rsidRDefault="006738C4" w:rsidP="007E43F1">
      <w:pPr>
        <w:jc w:val="both"/>
        <w:rPr>
          <w:rFonts w:cs="Arial"/>
          <w:szCs w:val="24"/>
        </w:rPr>
      </w:pPr>
    </w:p>
    <w:p w14:paraId="337B2FCD" w14:textId="4BA5C243" w:rsidR="004D59D2" w:rsidRPr="00184A7F" w:rsidRDefault="00184A7F" w:rsidP="004D59D2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184A7F">
        <w:rPr>
          <w:rFonts w:ascii="Arial" w:hAnsi="Arial" w:cs="Arial"/>
          <w:color w:val="auto"/>
          <w:sz w:val="24"/>
          <w:szCs w:val="24"/>
        </w:rPr>
        <w:t xml:space="preserve">X - </w:t>
      </w:r>
      <w:r w:rsidR="004D59D2" w:rsidRPr="00184A7F">
        <w:rPr>
          <w:rFonts w:ascii="Arial" w:hAnsi="Arial" w:cs="Arial"/>
          <w:color w:val="auto"/>
          <w:sz w:val="24"/>
          <w:szCs w:val="24"/>
        </w:rPr>
        <w:t>Regularidade nos Repasses</w:t>
      </w:r>
      <w:r w:rsidR="00651312">
        <w:rPr>
          <w:rFonts w:ascii="Arial" w:hAnsi="Arial" w:cs="Arial"/>
          <w:color w:val="auto"/>
          <w:sz w:val="24"/>
          <w:szCs w:val="24"/>
        </w:rPr>
        <w:t>:</w:t>
      </w:r>
    </w:p>
    <w:p w14:paraId="70E9ADB6" w14:textId="77777777" w:rsidR="00C6370A" w:rsidRDefault="00C6370A" w:rsidP="00C6370A"/>
    <w:p w14:paraId="7B934AF4" w14:textId="282AE9FF" w:rsidR="00C6370A" w:rsidRPr="00184A7F" w:rsidRDefault="00C6370A" w:rsidP="00C6370A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b/>
          <w:color w:val="365F91" w:themeColor="accent1" w:themeShade="BF"/>
          <w:sz w:val="20"/>
          <w:szCs w:val="20"/>
        </w:rPr>
        <w:t>Objetivo</w:t>
      </w:r>
      <w:r w:rsidRPr="00184A7F">
        <w:rPr>
          <w:rFonts w:cs="Arial"/>
          <w:color w:val="365F91" w:themeColor="accent1" w:themeShade="BF"/>
          <w:sz w:val="20"/>
          <w:szCs w:val="20"/>
        </w:rPr>
        <w:t>:</w:t>
      </w:r>
      <w:r w:rsidRPr="00184A7F">
        <w:rPr>
          <w:color w:val="365F91" w:themeColor="accent1" w:themeShade="BF"/>
        </w:rPr>
        <w:t xml:space="preserve"> </w:t>
      </w:r>
      <w:r w:rsidRPr="00184A7F">
        <w:rPr>
          <w:rFonts w:cs="Arial"/>
          <w:color w:val="365F91" w:themeColor="accent1" w:themeShade="BF"/>
          <w:sz w:val="20"/>
          <w:szCs w:val="20"/>
        </w:rPr>
        <w:t>Demonstrar a fonte de custeio do RPPS.</w:t>
      </w:r>
    </w:p>
    <w:p w14:paraId="5CAF6F18" w14:textId="77777777" w:rsidR="00C6370A" w:rsidRPr="00184A7F" w:rsidRDefault="00C6370A" w:rsidP="00C6370A">
      <w:pPr>
        <w:jc w:val="both"/>
        <w:rPr>
          <w:rFonts w:cs="Arial"/>
          <w:b/>
          <w:color w:val="365F91" w:themeColor="accent1" w:themeShade="BF"/>
          <w:sz w:val="20"/>
          <w:szCs w:val="20"/>
        </w:rPr>
      </w:pPr>
      <w:r w:rsidRPr="00184A7F">
        <w:rPr>
          <w:rFonts w:cs="Arial"/>
          <w:b/>
          <w:color w:val="365F91" w:themeColor="accent1" w:themeShade="BF"/>
          <w:sz w:val="20"/>
          <w:szCs w:val="20"/>
        </w:rPr>
        <w:t>Conteúdo mínimo:</w:t>
      </w:r>
    </w:p>
    <w:p w14:paraId="09010AA2" w14:textId="575BDD9A" w:rsidR="002C277F" w:rsidRPr="00184A7F" w:rsidRDefault="00F34497" w:rsidP="002C277F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lastRenderedPageBreak/>
        <w:t xml:space="preserve">- </w:t>
      </w:r>
      <w:r w:rsidR="002C277F" w:rsidRPr="00184A7F">
        <w:rPr>
          <w:rFonts w:cs="Arial"/>
          <w:color w:val="365F91" w:themeColor="accent1" w:themeShade="BF"/>
          <w:sz w:val="20"/>
          <w:szCs w:val="20"/>
        </w:rPr>
        <w:t xml:space="preserve">Demonstrar a regularidade nos repasses das </w:t>
      </w:r>
      <w:r w:rsidR="002C277F" w:rsidRPr="00184A7F">
        <w:rPr>
          <w:rFonts w:cs="Arial"/>
          <w:color w:val="365F91" w:themeColor="accent1" w:themeShade="BF"/>
          <w:sz w:val="20"/>
          <w:szCs w:val="20"/>
          <w:u w:val="single"/>
        </w:rPr>
        <w:t>contribuições</w:t>
      </w:r>
      <w:r w:rsidR="002C277F" w:rsidRPr="00184A7F">
        <w:rPr>
          <w:rFonts w:cs="Arial"/>
          <w:color w:val="365F91" w:themeColor="accent1" w:themeShade="BF"/>
          <w:sz w:val="20"/>
          <w:szCs w:val="20"/>
        </w:rPr>
        <w:t xml:space="preserve"> (servidores e ente federativo).</w:t>
      </w:r>
    </w:p>
    <w:p w14:paraId="08018BC6" w14:textId="77777777" w:rsidR="002C277F" w:rsidRPr="00184A7F" w:rsidRDefault="002C277F" w:rsidP="002C277F">
      <w:pPr>
        <w:numPr>
          <w:ilvl w:val="0"/>
          <w:numId w:val="12"/>
        </w:num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>Em caso de inadimplência, indicar os valores pendentes e detalhar as medidas administrativas, legais ou judiciais adotadas pelo RPPS para garantir o recebimento integral, anexando a documentação comprobatória.</w:t>
      </w:r>
    </w:p>
    <w:p w14:paraId="18E5E7E1" w14:textId="1D137C21" w:rsidR="002C277F" w:rsidRPr="00184A7F" w:rsidRDefault="00F34497" w:rsidP="002C277F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 xml:space="preserve">- </w:t>
      </w:r>
      <w:r w:rsidR="002C277F" w:rsidRPr="00184A7F">
        <w:rPr>
          <w:rFonts w:cs="Arial"/>
          <w:color w:val="365F91" w:themeColor="accent1" w:themeShade="BF"/>
          <w:sz w:val="20"/>
          <w:szCs w:val="20"/>
        </w:rPr>
        <w:t xml:space="preserve">Demonstrar a regularidade nos repasses dos </w:t>
      </w:r>
      <w:r w:rsidR="002C277F" w:rsidRPr="00184A7F">
        <w:rPr>
          <w:rFonts w:cs="Arial"/>
          <w:color w:val="365F91" w:themeColor="accent1" w:themeShade="BF"/>
          <w:sz w:val="20"/>
          <w:szCs w:val="20"/>
          <w:u w:val="single"/>
        </w:rPr>
        <w:t>parcelamentos</w:t>
      </w:r>
      <w:r w:rsidR="002C277F" w:rsidRPr="00184A7F">
        <w:rPr>
          <w:rFonts w:cs="Arial"/>
          <w:color w:val="365F91" w:themeColor="accent1" w:themeShade="BF"/>
          <w:sz w:val="20"/>
          <w:szCs w:val="20"/>
        </w:rPr>
        <w:t xml:space="preserve"> e do </w:t>
      </w:r>
      <w:r w:rsidR="002C277F" w:rsidRPr="00184A7F">
        <w:rPr>
          <w:rFonts w:cs="Arial"/>
          <w:color w:val="365F91" w:themeColor="accent1" w:themeShade="BF"/>
          <w:sz w:val="20"/>
          <w:szCs w:val="20"/>
          <w:u w:val="single"/>
        </w:rPr>
        <w:t>Plano de Amortização</w:t>
      </w:r>
      <w:r w:rsidR="002C277F" w:rsidRPr="00184A7F">
        <w:rPr>
          <w:rFonts w:cs="Arial"/>
          <w:color w:val="365F91" w:themeColor="accent1" w:themeShade="BF"/>
          <w:sz w:val="20"/>
          <w:szCs w:val="20"/>
        </w:rPr>
        <w:t xml:space="preserve"> vigente.</w:t>
      </w:r>
    </w:p>
    <w:p w14:paraId="46FD52C4" w14:textId="77777777" w:rsidR="002C277F" w:rsidRPr="00184A7F" w:rsidRDefault="002C277F" w:rsidP="002C277F">
      <w:pPr>
        <w:numPr>
          <w:ilvl w:val="0"/>
          <w:numId w:val="13"/>
        </w:numPr>
        <w:jc w:val="both"/>
        <w:rPr>
          <w:rFonts w:cs="Arial"/>
          <w:color w:val="365F91" w:themeColor="accent1" w:themeShade="BF"/>
          <w:sz w:val="20"/>
          <w:szCs w:val="20"/>
        </w:rPr>
      </w:pPr>
      <w:r w:rsidRPr="00184A7F">
        <w:rPr>
          <w:rFonts w:cs="Arial"/>
          <w:color w:val="365F91" w:themeColor="accent1" w:themeShade="BF"/>
          <w:sz w:val="20"/>
          <w:szCs w:val="20"/>
        </w:rPr>
        <w:t>Em caso de inadimplência, indicar os valores pendentes e detalhar as medidas adotadas pelo RPPS para garantir o recebimento integral, anexando a documentação comprobatória.</w:t>
      </w:r>
    </w:p>
    <w:p w14:paraId="2EDFAD6F" w14:textId="3DB1B01E" w:rsidR="00ED7B44" w:rsidRPr="00184A7F" w:rsidRDefault="00ED7B44" w:rsidP="00ED7B44">
      <w:pPr>
        <w:pStyle w:val="Ttulo3"/>
        <w:rPr>
          <w:rFonts w:ascii="Arial" w:eastAsiaTheme="minorEastAsia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184A7F">
        <w:rPr>
          <w:rFonts w:ascii="Arial" w:eastAsiaTheme="minorEastAsia" w:hAnsi="Arial" w:cs="Arial"/>
          <w:b w:val="0"/>
          <w:bCs w:val="0"/>
          <w:color w:val="365F91" w:themeColor="accent1" w:themeShade="BF"/>
          <w:sz w:val="20"/>
          <w:szCs w:val="20"/>
        </w:rPr>
        <w:t xml:space="preserve"> </w:t>
      </w:r>
      <w:r w:rsidR="00F34497" w:rsidRPr="00184A7F">
        <w:rPr>
          <w:rFonts w:ascii="Arial" w:eastAsiaTheme="minorEastAsia" w:hAnsi="Arial" w:cs="Arial"/>
          <w:b w:val="0"/>
          <w:bCs w:val="0"/>
          <w:color w:val="365F91" w:themeColor="accent1" w:themeShade="BF"/>
          <w:sz w:val="20"/>
          <w:szCs w:val="20"/>
        </w:rPr>
        <w:t xml:space="preserve">- </w:t>
      </w:r>
      <w:r w:rsidRPr="00184A7F">
        <w:rPr>
          <w:rFonts w:ascii="Arial" w:eastAsiaTheme="minorEastAsia" w:hAnsi="Arial" w:cs="Arial"/>
          <w:b w:val="0"/>
          <w:bCs w:val="0"/>
          <w:color w:val="365F91" w:themeColor="accent1" w:themeShade="BF"/>
          <w:sz w:val="20"/>
          <w:szCs w:val="20"/>
          <w:u w:val="single"/>
        </w:rPr>
        <w:t>Compensação Previdenciária</w:t>
      </w:r>
      <w:r w:rsidR="00A11D6C" w:rsidRPr="00184A7F">
        <w:rPr>
          <w:rFonts w:ascii="Arial" w:eastAsiaTheme="minorEastAsia" w:hAnsi="Arial" w:cs="Arial"/>
          <w:b w:val="0"/>
          <w:bCs w:val="0"/>
          <w:color w:val="365F91" w:themeColor="accent1" w:themeShade="BF"/>
          <w:sz w:val="20"/>
          <w:szCs w:val="20"/>
        </w:rPr>
        <w:t>.</w:t>
      </w:r>
    </w:p>
    <w:p w14:paraId="560D46B3" w14:textId="77777777" w:rsidR="00ED7B44" w:rsidRPr="00184A7F" w:rsidRDefault="00ED7B44" w:rsidP="00F34497">
      <w:pPr>
        <w:pStyle w:val="NormalWeb"/>
        <w:numPr>
          <w:ilvl w:val="0"/>
          <w:numId w:val="14"/>
        </w:numPr>
        <w:rPr>
          <w:rFonts w:ascii="Arial" w:eastAsiaTheme="minorEastAsia" w:hAnsi="Arial" w:cs="Arial"/>
          <w:color w:val="365F91" w:themeColor="accent1" w:themeShade="BF"/>
          <w:sz w:val="20"/>
          <w:szCs w:val="20"/>
          <w:lang w:eastAsia="en-US"/>
        </w:rPr>
      </w:pPr>
      <w:r w:rsidRPr="00184A7F">
        <w:rPr>
          <w:rFonts w:ascii="Arial" w:eastAsiaTheme="minorEastAsia" w:hAnsi="Arial" w:cs="Arial"/>
          <w:color w:val="365F91" w:themeColor="accent1" w:themeShade="BF"/>
          <w:sz w:val="20"/>
          <w:szCs w:val="20"/>
          <w:lang w:eastAsia="en-US"/>
        </w:rPr>
        <w:t>Informar o volume de recursos em trâmite de Compensação Previdenciária (valores solicitados e recebidos) no exercício, detalhando a situação dos pedidos e eventuais ações para agilizar o processo.</w:t>
      </w:r>
    </w:p>
    <w:p w14:paraId="19C847E7" w14:textId="77777777" w:rsidR="004D59D2" w:rsidRPr="006A31EB" w:rsidRDefault="004D59D2" w:rsidP="007E43F1">
      <w:pPr>
        <w:jc w:val="both"/>
        <w:rPr>
          <w:rFonts w:cs="Arial"/>
          <w:szCs w:val="24"/>
        </w:rPr>
      </w:pPr>
    </w:p>
    <w:p w14:paraId="675A307C" w14:textId="1D60BA03" w:rsidR="007E43F1" w:rsidRPr="00651312" w:rsidRDefault="00651312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651312">
        <w:rPr>
          <w:rFonts w:ascii="Arial" w:hAnsi="Arial" w:cs="Arial"/>
          <w:color w:val="auto"/>
          <w:sz w:val="24"/>
          <w:szCs w:val="24"/>
        </w:rPr>
        <w:t>XI -</w:t>
      </w:r>
      <w:r w:rsidR="00B4585C" w:rsidRPr="00651312">
        <w:rPr>
          <w:rFonts w:ascii="Arial" w:hAnsi="Arial" w:cs="Arial"/>
          <w:color w:val="auto"/>
          <w:sz w:val="24"/>
          <w:szCs w:val="24"/>
        </w:rPr>
        <w:t xml:space="preserve"> Ações de Transparência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413E0CFD" w14:textId="63E252CC" w:rsidR="00B4585C" w:rsidRPr="00651312" w:rsidRDefault="007E43F1" w:rsidP="007E43F1">
      <w:pPr>
        <w:pStyle w:val="Ttulo2"/>
        <w:jc w:val="both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Ações de transparência e Comunicação com o</w:t>
      </w:r>
      <w:r w:rsidR="00251B6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s</w:t>
      </w:r>
      <w:r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 Segurado</w:t>
      </w:r>
      <w:r w:rsidR="00251B6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s e beneficiários</w:t>
      </w:r>
      <w:r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: relatar ações de </w:t>
      </w:r>
      <w:r w:rsidRPr="00651312">
        <w:rPr>
          <w:rFonts w:ascii="Arial" w:hAnsi="Arial" w:cs="Arial"/>
          <w:bCs w:val="0"/>
          <w:color w:val="365F91" w:themeColor="accent1" w:themeShade="BF"/>
          <w:sz w:val="20"/>
          <w:szCs w:val="20"/>
        </w:rPr>
        <w:t>divulgação de informações</w:t>
      </w:r>
      <w:r w:rsidR="00251B6B" w:rsidRPr="00651312">
        <w:rPr>
          <w:rFonts w:ascii="Arial" w:hAnsi="Arial" w:cs="Arial"/>
          <w:bCs w:val="0"/>
          <w:color w:val="365F91" w:themeColor="accent1" w:themeShade="BF"/>
          <w:sz w:val="20"/>
          <w:szCs w:val="20"/>
        </w:rPr>
        <w:t xml:space="preserve"> e publicidade</w:t>
      </w:r>
      <w:r w:rsidR="00251B6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 dos atos e decisões da </w:t>
      </w:r>
      <w:r w:rsidR="00F03807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U</w:t>
      </w:r>
      <w:r w:rsidR="00251B6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nidade </w:t>
      </w:r>
      <w:r w:rsidR="00F03807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G</w:t>
      </w:r>
      <w:r w:rsidR="00251B6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estora</w:t>
      </w:r>
      <w:r w:rsidR="00651312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, em especial</w:t>
      </w:r>
      <w:r w:rsidR="009A3ED4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 as informações contidas nos</w:t>
      </w:r>
      <w:r w:rsidR="00251B6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 art</w:t>
      </w:r>
      <w:r w:rsidR="009A3ED4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s</w:t>
      </w:r>
      <w:r w:rsidR="00251B6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. </w:t>
      </w:r>
      <w:r w:rsidR="006A31E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74 e </w:t>
      </w:r>
      <w:r w:rsidR="00251B6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148</w:t>
      </w:r>
      <w:r w:rsidR="006A31E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 da Portaria MTP nº 1.467</w:t>
      </w:r>
      <w:r w:rsidR="00651312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/</w:t>
      </w:r>
      <w:r w:rsidR="006A31EB"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2022.</w:t>
      </w:r>
    </w:p>
    <w:p w14:paraId="3721BFF3" w14:textId="77777777" w:rsidR="00397988" w:rsidRDefault="00397988" w:rsidP="00397988"/>
    <w:p w14:paraId="48495B7C" w14:textId="5B5FE79B" w:rsidR="00A11D6C" w:rsidRPr="00651312" w:rsidRDefault="00651312" w:rsidP="00314CE5">
      <w:pPr>
        <w:rPr>
          <w:rFonts w:cs="Arial"/>
          <w:b/>
          <w:bCs/>
          <w:szCs w:val="24"/>
        </w:rPr>
      </w:pPr>
      <w:r w:rsidRPr="00651312">
        <w:rPr>
          <w:rFonts w:cs="Arial"/>
          <w:b/>
          <w:bCs/>
          <w:szCs w:val="24"/>
        </w:rPr>
        <w:t>XII</w:t>
      </w:r>
      <w:r w:rsidR="00314CE5" w:rsidRPr="00651312">
        <w:rPr>
          <w:rFonts w:cs="Arial"/>
          <w:b/>
          <w:bCs/>
          <w:szCs w:val="24"/>
        </w:rPr>
        <w:t xml:space="preserve"> - Resultados Alcançados e Desafios da Gestão:</w:t>
      </w:r>
    </w:p>
    <w:p w14:paraId="3AAFB0B7" w14:textId="4DDE11DB" w:rsidR="00314CE5" w:rsidRPr="00651312" w:rsidRDefault="00314CE5" w:rsidP="00314CE5">
      <w:pPr>
        <w:rPr>
          <w:color w:val="365F91" w:themeColor="accent1" w:themeShade="BF"/>
          <w:sz w:val="20"/>
          <w:szCs w:val="20"/>
        </w:rPr>
      </w:pPr>
      <w:r w:rsidRPr="00651312">
        <w:rPr>
          <w:b/>
          <w:color w:val="365F91" w:themeColor="accent1" w:themeShade="BF"/>
          <w:sz w:val="20"/>
          <w:szCs w:val="20"/>
        </w:rPr>
        <w:t>Objetivo</w:t>
      </w:r>
      <w:r w:rsidRPr="00651312">
        <w:rPr>
          <w:color w:val="365F91" w:themeColor="accent1" w:themeShade="BF"/>
          <w:sz w:val="20"/>
          <w:szCs w:val="20"/>
        </w:rPr>
        <w:t>: sintetizar o desempenho global da gestão, destacando avanços e obstáculos.</w:t>
      </w:r>
    </w:p>
    <w:p w14:paraId="011B1CFF" w14:textId="77777777" w:rsidR="00314CE5" w:rsidRPr="00651312" w:rsidRDefault="00314CE5" w:rsidP="00314CE5">
      <w:pPr>
        <w:rPr>
          <w:b/>
          <w:color w:val="365F91" w:themeColor="accent1" w:themeShade="BF"/>
          <w:sz w:val="20"/>
          <w:szCs w:val="20"/>
        </w:rPr>
      </w:pPr>
      <w:r w:rsidRPr="00651312">
        <w:rPr>
          <w:b/>
          <w:color w:val="365F91" w:themeColor="accent1" w:themeShade="BF"/>
          <w:sz w:val="20"/>
          <w:szCs w:val="20"/>
        </w:rPr>
        <w:t>Conteúdo mínimo sugerido:</w:t>
      </w:r>
    </w:p>
    <w:p w14:paraId="2EFAEA5D" w14:textId="2097BC11" w:rsidR="00314CE5" w:rsidRPr="00651312" w:rsidRDefault="00314CE5" w:rsidP="00383985">
      <w:pPr>
        <w:rPr>
          <w:color w:val="365F91" w:themeColor="accent1" w:themeShade="BF"/>
          <w:sz w:val="20"/>
          <w:szCs w:val="20"/>
        </w:rPr>
      </w:pPr>
      <w:r w:rsidRPr="00651312">
        <w:rPr>
          <w:color w:val="365F91" w:themeColor="accent1" w:themeShade="BF"/>
          <w:sz w:val="20"/>
          <w:szCs w:val="20"/>
        </w:rPr>
        <w:t xml:space="preserve">- </w:t>
      </w:r>
      <w:r w:rsidR="00602738" w:rsidRPr="00651312">
        <w:rPr>
          <w:color w:val="365F91" w:themeColor="accent1" w:themeShade="BF"/>
          <w:sz w:val="20"/>
          <w:szCs w:val="20"/>
        </w:rPr>
        <w:t xml:space="preserve">Apresentação concisa dos </w:t>
      </w:r>
      <w:r w:rsidR="00602738" w:rsidRPr="00651312">
        <w:rPr>
          <w:b/>
          <w:bCs/>
          <w:color w:val="365F91" w:themeColor="accent1" w:themeShade="BF"/>
          <w:sz w:val="20"/>
          <w:szCs w:val="20"/>
        </w:rPr>
        <w:t>resultados mais relevantes</w:t>
      </w:r>
      <w:r w:rsidR="00602738" w:rsidRPr="00651312">
        <w:rPr>
          <w:color w:val="365F91" w:themeColor="accent1" w:themeShade="BF"/>
          <w:sz w:val="20"/>
          <w:szCs w:val="20"/>
        </w:rPr>
        <w:t xml:space="preserve"> e do atingimento da missão institucional no período.</w:t>
      </w:r>
    </w:p>
    <w:p w14:paraId="5382EE36" w14:textId="2237B316" w:rsidR="00314CE5" w:rsidRPr="00651312" w:rsidRDefault="00314CE5" w:rsidP="00383985">
      <w:pPr>
        <w:rPr>
          <w:color w:val="365F91" w:themeColor="accent1" w:themeShade="BF"/>
          <w:sz w:val="20"/>
          <w:szCs w:val="20"/>
        </w:rPr>
      </w:pPr>
      <w:r w:rsidRPr="00651312">
        <w:rPr>
          <w:color w:val="365F91" w:themeColor="accent1" w:themeShade="BF"/>
          <w:sz w:val="20"/>
          <w:szCs w:val="20"/>
        </w:rPr>
        <w:t xml:space="preserve">- </w:t>
      </w:r>
      <w:r w:rsidR="00D06814" w:rsidRPr="00651312">
        <w:rPr>
          <w:color w:val="365F91" w:themeColor="accent1" w:themeShade="BF"/>
          <w:sz w:val="20"/>
          <w:szCs w:val="20"/>
        </w:rPr>
        <w:t xml:space="preserve">Listar as </w:t>
      </w:r>
      <w:r w:rsidR="00D06814" w:rsidRPr="00651312">
        <w:rPr>
          <w:b/>
          <w:bCs/>
          <w:color w:val="365F91" w:themeColor="accent1" w:themeShade="BF"/>
          <w:sz w:val="20"/>
          <w:szCs w:val="20"/>
        </w:rPr>
        <w:t>principais dificuldades e obstáculos</w:t>
      </w:r>
      <w:r w:rsidR="00D06814" w:rsidRPr="00651312">
        <w:rPr>
          <w:color w:val="365F91" w:themeColor="accent1" w:themeShade="BF"/>
          <w:sz w:val="20"/>
          <w:szCs w:val="20"/>
        </w:rPr>
        <w:t xml:space="preserve"> enfrentados, com foco naquel</w:t>
      </w:r>
      <w:r w:rsidR="00651312" w:rsidRPr="00651312">
        <w:rPr>
          <w:color w:val="365F91" w:themeColor="accent1" w:themeShade="BF"/>
          <w:sz w:val="20"/>
          <w:szCs w:val="20"/>
        </w:rPr>
        <w:t>e</w:t>
      </w:r>
      <w:r w:rsidR="00D06814" w:rsidRPr="00651312">
        <w:rPr>
          <w:color w:val="365F91" w:themeColor="accent1" w:themeShade="BF"/>
          <w:sz w:val="20"/>
          <w:szCs w:val="20"/>
        </w:rPr>
        <w:t>s que impactaram diretamente os resultados.</w:t>
      </w:r>
    </w:p>
    <w:p w14:paraId="5F038708" w14:textId="7628BE17" w:rsidR="00314CE5" w:rsidRPr="00651312" w:rsidRDefault="00314CE5" w:rsidP="00383985">
      <w:pPr>
        <w:rPr>
          <w:color w:val="365F91" w:themeColor="accent1" w:themeShade="BF"/>
          <w:sz w:val="20"/>
          <w:szCs w:val="20"/>
        </w:rPr>
      </w:pPr>
      <w:r w:rsidRPr="00651312">
        <w:rPr>
          <w:color w:val="365F91" w:themeColor="accent1" w:themeShade="BF"/>
          <w:sz w:val="20"/>
          <w:szCs w:val="20"/>
        </w:rPr>
        <w:t xml:space="preserve">- </w:t>
      </w:r>
      <w:r w:rsidR="00D06814" w:rsidRPr="00651312">
        <w:rPr>
          <w:color w:val="365F91" w:themeColor="accent1" w:themeShade="BF"/>
          <w:sz w:val="20"/>
          <w:szCs w:val="20"/>
        </w:rPr>
        <w:t xml:space="preserve">Detalhar as </w:t>
      </w:r>
      <w:r w:rsidR="00D06814" w:rsidRPr="00651312">
        <w:rPr>
          <w:b/>
          <w:bCs/>
          <w:color w:val="365F91" w:themeColor="accent1" w:themeShade="BF"/>
          <w:sz w:val="20"/>
          <w:szCs w:val="20"/>
        </w:rPr>
        <w:t>principais medidas corretivas</w:t>
      </w:r>
      <w:r w:rsidR="008A6F7C" w:rsidRPr="00651312">
        <w:rPr>
          <w:color w:val="365F91" w:themeColor="accent1" w:themeShade="BF"/>
          <w:sz w:val="20"/>
          <w:szCs w:val="20"/>
        </w:rPr>
        <w:t xml:space="preserve"> adotadas</w:t>
      </w:r>
      <w:r w:rsidR="00D06814" w:rsidRPr="00651312">
        <w:rPr>
          <w:color w:val="365F91" w:themeColor="accent1" w:themeShade="BF"/>
          <w:sz w:val="20"/>
          <w:szCs w:val="20"/>
        </w:rPr>
        <w:t>.</w:t>
      </w:r>
    </w:p>
    <w:p w14:paraId="2638E0C8" w14:textId="1E32E0C1" w:rsidR="007E43F1" w:rsidRPr="00651312" w:rsidRDefault="00651312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651312">
        <w:rPr>
          <w:rFonts w:ascii="Arial" w:eastAsiaTheme="minorEastAsia" w:hAnsi="Arial" w:cstheme="minorBidi"/>
          <w:bCs w:val="0"/>
          <w:color w:val="auto"/>
          <w:sz w:val="24"/>
          <w:szCs w:val="22"/>
        </w:rPr>
        <w:t>XIII</w:t>
      </w:r>
      <w:r w:rsidRPr="00651312">
        <w:rPr>
          <w:rFonts w:ascii="Arial" w:hAnsi="Arial" w:cs="Arial"/>
          <w:color w:val="auto"/>
          <w:sz w:val="24"/>
          <w:szCs w:val="24"/>
        </w:rPr>
        <w:t xml:space="preserve"> - </w:t>
      </w:r>
      <w:r w:rsidR="007E43F1" w:rsidRPr="00651312">
        <w:rPr>
          <w:rFonts w:ascii="Arial" w:hAnsi="Arial" w:cs="Arial"/>
          <w:color w:val="auto"/>
          <w:sz w:val="24"/>
          <w:szCs w:val="24"/>
        </w:rPr>
        <w:t>Demais assuntos que a unidade julgar relevante</w:t>
      </w:r>
      <w:r w:rsidR="00692FF5">
        <w:rPr>
          <w:rFonts w:ascii="Arial" w:hAnsi="Arial" w:cs="Arial"/>
          <w:color w:val="auto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>:</w:t>
      </w:r>
    </w:p>
    <w:p w14:paraId="3CF58845" w14:textId="77777777" w:rsidR="00F03807" w:rsidRDefault="00F03807" w:rsidP="00F03807"/>
    <w:p w14:paraId="3132C443" w14:textId="375414FA" w:rsidR="00F03807" w:rsidRPr="005B5AD3" w:rsidRDefault="00F03807" w:rsidP="005B5AD3">
      <w:pPr>
        <w:pStyle w:val="Ttulo2"/>
        <w:jc w:val="both"/>
        <w:rPr>
          <w:rFonts w:ascii="Arial" w:hAnsi="Arial" w:cs="Arial"/>
          <w:b w:val="0"/>
          <w:bCs w:val="0"/>
          <w:color w:val="EE0000"/>
          <w:sz w:val="20"/>
          <w:szCs w:val="20"/>
        </w:rPr>
      </w:pPr>
      <w:r w:rsidRP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Apresentar demais ocorrências, decisões ou assuntos que a unidade gestora julgar relevantes para a compreensão da gestão do exercício</w:t>
      </w:r>
      <w:r w:rsidR="00651312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.</w:t>
      </w:r>
    </w:p>
    <w:p w14:paraId="78B72CA6" w14:textId="77777777" w:rsidR="007E43F1" w:rsidRDefault="007E43F1" w:rsidP="007E43F1">
      <w:pPr>
        <w:jc w:val="both"/>
        <w:rPr>
          <w:rFonts w:cs="Arial"/>
          <w:szCs w:val="24"/>
        </w:rPr>
      </w:pPr>
    </w:p>
    <w:p w14:paraId="0DDE4CCB" w14:textId="77777777" w:rsidR="00C83023" w:rsidRDefault="00C83023" w:rsidP="00C83023">
      <w:pPr>
        <w:jc w:val="both"/>
        <w:rPr>
          <w:rFonts w:cs="Arial"/>
          <w:szCs w:val="24"/>
        </w:rPr>
      </w:pPr>
    </w:p>
    <w:p w14:paraId="2434CD82" w14:textId="77777777" w:rsidR="00C83023" w:rsidRPr="00E622EB" w:rsidRDefault="00C83023" w:rsidP="00C83023">
      <w:pPr>
        <w:jc w:val="both"/>
        <w:rPr>
          <w:rFonts w:cs="Arial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  <w:gridCol w:w="4650"/>
      </w:tblGrid>
      <w:tr w:rsidR="00C83023" w:rsidRPr="00E622EB" w14:paraId="5FD107CB" w14:textId="77777777" w:rsidTr="00D67B33">
        <w:tc>
          <w:tcPr>
            <w:tcW w:w="4677" w:type="dxa"/>
          </w:tcPr>
          <w:p w14:paraId="18BCB97B" w14:textId="77777777" w:rsidR="00C83023" w:rsidRPr="00E622EB" w:rsidRDefault="00C83023" w:rsidP="00D67B33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_______________________</w:t>
            </w:r>
          </w:p>
        </w:tc>
        <w:tc>
          <w:tcPr>
            <w:tcW w:w="4677" w:type="dxa"/>
          </w:tcPr>
          <w:p w14:paraId="1B246F5D" w14:textId="77777777" w:rsidR="00C83023" w:rsidRPr="00E622EB" w:rsidRDefault="00C83023" w:rsidP="00D67B33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_______________________________</w:t>
            </w:r>
          </w:p>
        </w:tc>
      </w:tr>
      <w:tr w:rsidR="00C83023" w:rsidRPr="00E622EB" w14:paraId="16A0B26F" w14:textId="77777777" w:rsidTr="00D67B33">
        <w:tc>
          <w:tcPr>
            <w:tcW w:w="4677" w:type="dxa"/>
          </w:tcPr>
          <w:p w14:paraId="7124DBBF" w14:textId="77777777" w:rsidR="00C83023" w:rsidRPr="00E622EB" w:rsidRDefault="00C83023" w:rsidP="00D67B33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Local e Data</w:t>
            </w:r>
          </w:p>
        </w:tc>
        <w:tc>
          <w:tcPr>
            <w:tcW w:w="4677" w:type="dxa"/>
          </w:tcPr>
          <w:p w14:paraId="2E0F28E5" w14:textId="77777777" w:rsidR="00C83023" w:rsidRPr="00E622EB" w:rsidRDefault="00C83023" w:rsidP="00D67B33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Gestor</w:t>
            </w:r>
          </w:p>
        </w:tc>
      </w:tr>
    </w:tbl>
    <w:p w14:paraId="2DEA0C9D" w14:textId="77777777" w:rsidR="00C83023" w:rsidRDefault="00C83023" w:rsidP="00C83023">
      <w:pPr>
        <w:jc w:val="both"/>
        <w:rPr>
          <w:rFonts w:cs="Arial"/>
          <w:b/>
          <w:szCs w:val="24"/>
        </w:rPr>
      </w:pPr>
      <w:r w:rsidRPr="00E622EB">
        <w:rPr>
          <w:rFonts w:cs="Arial"/>
          <w:b/>
          <w:szCs w:val="24"/>
        </w:rPr>
        <w:lastRenderedPageBreak/>
        <w:tab/>
      </w:r>
    </w:p>
    <w:p w14:paraId="21160902" w14:textId="77777777" w:rsidR="00F21C7A" w:rsidRPr="00E622EB" w:rsidRDefault="00F21C7A" w:rsidP="00C83023">
      <w:pPr>
        <w:jc w:val="both"/>
        <w:rPr>
          <w:rFonts w:cs="Arial"/>
          <w:b/>
          <w:szCs w:val="24"/>
        </w:rPr>
      </w:pPr>
    </w:p>
    <w:p w14:paraId="4A388D08" w14:textId="77777777" w:rsidR="007117C5" w:rsidRPr="00651312" w:rsidRDefault="007117C5" w:rsidP="007117C5">
      <w:pPr>
        <w:jc w:val="both"/>
        <w:rPr>
          <w:rFonts w:cs="Arial"/>
          <w:b/>
          <w:bCs/>
          <w:szCs w:val="24"/>
        </w:rPr>
      </w:pPr>
      <w:r w:rsidRPr="00651312">
        <w:rPr>
          <w:rFonts w:cs="Arial"/>
          <w:b/>
          <w:bCs/>
          <w:szCs w:val="24"/>
        </w:rPr>
        <w:t>Orientações:</w:t>
      </w:r>
    </w:p>
    <w:p w14:paraId="08834450" w14:textId="77777777" w:rsidR="003F1107" w:rsidRPr="00651312" w:rsidRDefault="003F1107" w:rsidP="003F1107">
      <w:pPr>
        <w:jc w:val="both"/>
        <w:rPr>
          <w:rFonts w:cs="Arial"/>
          <w:color w:val="365F91" w:themeColor="accent1" w:themeShade="BF"/>
          <w:szCs w:val="24"/>
        </w:rPr>
      </w:pPr>
      <w:r w:rsidRPr="00651312">
        <w:rPr>
          <w:rFonts w:cs="Arial"/>
          <w:color w:val="365F91" w:themeColor="accent1" w:themeShade="BF"/>
          <w:szCs w:val="24"/>
        </w:rPr>
        <w:t xml:space="preserve">O presente documento estabelece o </w:t>
      </w:r>
      <w:r w:rsidRPr="00651312">
        <w:rPr>
          <w:rFonts w:cs="Arial"/>
          <w:b/>
          <w:bCs/>
          <w:color w:val="365F91" w:themeColor="accent1" w:themeShade="BF"/>
          <w:szCs w:val="24"/>
        </w:rPr>
        <w:t>conteúdo mínimo</w:t>
      </w:r>
      <w:r w:rsidRPr="00651312">
        <w:rPr>
          <w:rFonts w:cs="Arial"/>
          <w:color w:val="365F91" w:themeColor="accent1" w:themeShade="BF"/>
          <w:szCs w:val="24"/>
        </w:rPr>
        <w:t xml:space="preserve"> do Relatório Anual de Gestão, podendo o gestor </w:t>
      </w:r>
      <w:r w:rsidRPr="00651312">
        <w:rPr>
          <w:rFonts w:cs="Arial"/>
          <w:b/>
          <w:bCs/>
          <w:color w:val="365F91" w:themeColor="accent1" w:themeShade="BF"/>
          <w:szCs w:val="24"/>
        </w:rPr>
        <w:t>acrescentar outros temas, informações ou demonstrativos</w:t>
      </w:r>
      <w:r w:rsidRPr="00651312">
        <w:rPr>
          <w:rFonts w:cs="Arial"/>
          <w:color w:val="365F91" w:themeColor="accent1" w:themeShade="BF"/>
          <w:szCs w:val="24"/>
        </w:rPr>
        <w:t xml:space="preserve"> que considerar pertinentes para melhor contextualização da atuação da unidade no exercício.</w:t>
      </w:r>
    </w:p>
    <w:p w14:paraId="2EE06F67" w14:textId="77777777" w:rsidR="003F1107" w:rsidRPr="00651312" w:rsidRDefault="003F1107" w:rsidP="003F1107">
      <w:pPr>
        <w:jc w:val="both"/>
        <w:rPr>
          <w:rFonts w:cs="Arial"/>
          <w:color w:val="365F91" w:themeColor="accent1" w:themeShade="BF"/>
          <w:szCs w:val="24"/>
        </w:rPr>
      </w:pPr>
      <w:r w:rsidRPr="00651312">
        <w:rPr>
          <w:rFonts w:cs="Arial"/>
          <w:b/>
          <w:bCs/>
          <w:color w:val="365F91" w:themeColor="accent1" w:themeShade="BF"/>
          <w:szCs w:val="24"/>
        </w:rPr>
        <w:t>Recomenda-se que o Relatório seja elaborado, preferencialmente, pelo gestor que encerrou a condução das contas no exercício.</w:t>
      </w:r>
      <w:r w:rsidRPr="00651312">
        <w:rPr>
          <w:rFonts w:cs="Arial"/>
          <w:color w:val="365F91" w:themeColor="accent1" w:themeShade="BF"/>
          <w:szCs w:val="24"/>
        </w:rPr>
        <w:t xml:space="preserve"> Na ausência de sua elaboração por esse responsável, a competência recai sobre o </w:t>
      </w:r>
      <w:r w:rsidRPr="00651312">
        <w:rPr>
          <w:rFonts w:cs="Arial"/>
          <w:b/>
          <w:bCs/>
          <w:color w:val="365F91" w:themeColor="accent1" w:themeShade="BF"/>
          <w:szCs w:val="24"/>
        </w:rPr>
        <w:t>gestor encarregado do envio da Prestação de Contas</w:t>
      </w:r>
      <w:r w:rsidRPr="00651312">
        <w:rPr>
          <w:rFonts w:cs="Arial"/>
          <w:color w:val="365F91" w:themeColor="accent1" w:themeShade="BF"/>
          <w:szCs w:val="24"/>
        </w:rPr>
        <w:t>, conforme dispõe o § 2º do art. 10 da Deliberação TCE-RJ nº 277/2017.</w:t>
      </w:r>
    </w:p>
    <w:p w14:paraId="731EA10D" w14:textId="77777777" w:rsidR="003F1107" w:rsidRPr="00651312" w:rsidRDefault="003F1107" w:rsidP="003F1107">
      <w:pPr>
        <w:tabs>
          <w:tab w:val="num" w:pos="720"/>
        </w:tabs>
        <w:jc w:val="both"/>
        <w:rPr>
          <w:rFonts w:cs="Arial"/>
          <w:color w:val="365F91" w:themeColor="accent1" w:themeShade="BF"/>
          <w:szCs w:val="24"/>
        </w:rPr>
      </w:pPr>
      <w:r w:rsidRPr="00651312">
        <w:rPr>
          <w:rFonts w:cs="Arial"/>
          <w:color w:val="365F91" w:themeColor="accent1" w:themeShade="BF"/>
          <w:szCs w:val="24"/>
        </w:rPr>
        <w:t xml:space="preserve">Ressalta-se que o </w:t>
      </w:r>
      <w:r w:rsidRPr="00651312">
        <w:rPr>
          <w:rFonts w:cs="Arial"/>
          <w:b/>
          <w:bCs/>
          <w:color w:val="365F91" w:themeColor="accent1" w:themeShade="BF"/>
          <w:szCs w:val="24"/>
        </w:rPr>
        <w:t>Relatório Anual de Gestão integra a Prestação de Contas</w:t>
      </w:r>
      <w:r w:rsidRPr="00651312">
        <w:rPr>
          <w:rFonts w:cs="Arial"/>
          <w:color w:val="365F91" w:themeColor="accent1" w:themeShade="BF"/>
          <w:szCs w:val="24"/>
        </w:rPr>
        <w:t xml:space="preserve">, conforme art. 11 da Lei Complementar nº 63/1990, e </w:t>
      </w:r>
      <w:r w:rsidRPr="00651312">
        <w:rPr>
          <w:rFonts w:cs="Arial"/>
          <w:b/>
          <w:bCs/>
          <w:color w:val="365F91" w:themeColor="accent1" w:themeShade="BF"/>
          <w:szCs w:val="24"/>
          <w:u w:val="single"/>
        </w:rPr>
        <w:t>deve ser disponibilizado no sítio eletrônico oficial</w:t>
      </w:r>
      <w:r w:rsidRPr="00651312">
        <w:rPr>
          <w:rFonts w:cs="Arial"/>
          <w:color w:val="365F91" w:themeColor="accent1" w:themeShade="BF"/>
          <w:szCs w:val="24"/>
          <w:u w:val="single"/>
        </w:rPr>
        <w:t xml:space="preserve"> da unidade gestora</w:t>
      </w:r>
      <w:r w:rsidRPr="00651312">
        <w:rPr>
          <w:rFonts w:cs="Arial"/>
          <w:color w:val="365F91" w:themeColor="accent1" w:themeShade="BF"/>
          <w:szCs w:val="24"/>
        </w:rPr>
        <w:t xml:space="preserve">, em observância ao </w:t>
      </w:r>
      <w:r w:rsidRPr="00651312">
        <w:rPr>
          <w:rFonts w:cs="Arial"/>
          <w:b/>
          <w:bCs/>
          <w:color w:val="365F91" w:themeColor="accent1" w:themeShade="BF"/>
          <w:szCs w:val="24"/>
        </w:rPr>
        <w:t>art. 48, caput</w:t>
      </w:r>
      <w:r w:rsidRPr="00651312">
        <w:rPr>
          <w:rFonts w:cs="Arial"/>
          <w:color w:val="365F91" w:themeColor="accent1" w:themeShade="BF"/>
          <w:szCs w:val="24"/>
        </w:rPr>
        <w:t xml:space="preserve">, da Lei Complementar nº 101/2000 (LRF) e à </w:t>
      </w:r>
      <w:r w:rsidRPr="00651312">
        <w:rPr>
          <w:rFonts w:cs="Arial"/>
          <w:b/>
          <w:bCs/>
          <w:color w:val="365F91" w:themeColor="accent1" w:themeShade="BF"/>
          <w:szCs w:val="24"/>
        </w:rPr>
        <w:t>alínea “b” do art. 7º da Lei nº 12.527/2011</w:t>
      </w:r>
      <w:r w:rsidRPr="00651312">
        <w:rPr>
          <w:rFonts w:cs="Arial"/>
          <w:color w:val="365F91" w:themeColor="accent1" w:themeShade="BF"/>
          <w:szCs w:val="24"/>
        </w:rPr>
        <w:t xml:space="preserve"> (Lei de Acesso à Informação).</w:t>
      </w:r>
    </w:p>
    <w:p w14:paraId="5B5289F4" w14:textId="77777777" w:rsidR="003F1107" w:rsidRPr="006A31EB" w:rsidRDefault="003F1107" w:rsidP="007E43F1">
      <w:pPr>
        <w:jc w:val="both"/>
        <w:rPr>
          <w:rFonts w:cs="Arial"/>
          <w:szCs w:val="24"/>
        </w:rPr>
      </w:pPr>
    </w:p>
    <w:sectPr w:rsidR="003F1107" w:rsidRPr="006A31EB" w:rsidSect="00F03807">
      <w:pgSz w:w="12240" w:h="15840"/>
      <w:pgMar w:top="851" w:right="1467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E09B3"/>
    <w:multiLevelType w:val="hybridMultilevel"/>
    <w:tmpl w:val="5A84E92E"/>
    <w:lvl w:ilvl="0" w:tplc="5D10A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86D61"/>
    <w:multiLevelType w:val="hybridMultilevel"/>
    <w:tmpl w:val="C8121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5505F"/>
    <w:multiLevelType w:val="multilevel"/>
    <w:tmpl w:val="17BA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068B0"/>
    <w:multiLevelType w:val="hybridMultilevel"/>
    <w:tmpl w:val="EA3E0268"/>
    <w:lvl w:ilvl="0" w:tplc="40C89E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2072E"/>
    <w:multiLevelType w:val="hybridMultilevel"/>
    <w:tmpl w:val="41C0C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13058"/>
    <w:multiLevelType w:val="hybridMultilevel"/>
    <w:tmpl w:val="E4F0824C"/>
    <w:lvl w:ilvl="0" w:tplc="5636A7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5A76"/>
    <w:multiLevelType w:val="multilevel"/>
    <w:tmpl w:val="4DB235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8438B1"/>
    <w:multiLevelType w:val="multilevel"/>
    <w:tmpl w:val="2FE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D2C66"/>
    <w:multiLevelType w:val="hybridMultilevel"/>
    <w:tmpl w:val="D1286E6C"/>
    <w:lvl w:ilvl="0" w:tplc="CB26F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0"/>
  </w:num>
  <w:num w:numId="12">
    <w:abstractNumId w:val="11"/>
  </w:num>
  <w:num w:numId="13">
    <w:abstractNumId w:val="16"/>
  </w:num>
  <w:num w:numId="14">
    <w:abstractNumId w:val="13"/>
  </w:num>
  <w:num w:numId="15">
    <w:abstractNumId w:val="17"/>
  </w:num>
  <w:num w:numId="16">
    <w:abstractNumId w:val="1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D3C"/>
    <w:rsid w:val="0006063C"/>
    <w:rsid w:val="000A02B2"/>
    <w:rsid w:val="000F5AE9"/>
    <w:rsid w:val="00126832"/>
    <w:rsid w:val="0015074B"/>
    <w:rsid w:val="001769A5"/>
    <w:rsid w:val="00181D29"/>
    <w:rsid w:val="00184A7F"/>
    <w:rsid w:val="001A59E3"/>
    <w:rsid w:val="001E224C"/>
    <w:rsid w:val="0020092C"/>
    <w:rsid w:val="002101C4"/>
    <w:rsid w:val="002228D3"/>
    <w:rsid w:val="00251B6B"/>
    <w:rsid w:val="00277FB2"/>
    <w:rsid w:val="0029639D"/>
    <w:rsid w:val="002C277F"/>
    <w:rsid w:val="002F7A3E"/>
    <w:rsid w:val="002F7C10"/>
    <w:rsid w:val="00314CE5"/>
    <w:rsid w:val="0032165C"/>
    <w:rsid w:val="00326F90"/>
    <w:rsid w:val="00337BB3"/>
    <w:rsid w:val="00383985"/>
    <w:rsid w:val="00397988"/>
    <w:rsid w:val="003C094F"/>
    <w:rsid w:val="003E1B1A"/>
    <w:rsid w:val="003F1107"/>
    <w:rsid w:val="003F285E"/>
    <w:rsid w:val="00405E2E"/>
    <w:rsid w:val="00436FED"/>
    <w:rsid w:val="00437BE1"/>
    <w:rsid w:val="004D15FD"/>
    <w:rsid w:val="004D59D2"/>
    <w:rsid w:val="004F3CDF"/>
    <w:rsid w:val="0053307A"/>
    <w:rsid w:val="0054360C"/>
    <w:rsid w:val="00566768"/>
    <w:rsid w:val="005A06B7"/>
    <w:rsid w:val="005B5AD3"/>
    <w:rsid w:val="00602738"/>
    <w:rsid w:val="00651312"/>
    <w:rsid w:val="006738C4"/>
    <w:rsid w:val="00682B28"/>
    <w:rsid w:val="00692FF5"/>
    <w:rsid w:val="006A1F87"/>
    <w:rsid w:val="006A31EB"/>
    <w:rsid w:val="006E3E78"/>
    <w:rsid w:val="00707589"/>
    <w:rsid w:val="007103BA"/>
    <w:rsid w:val="007117C5"/>
    <w:rsid w:val="007953E2"/>
    <w:rsid w:val="007E0687"/>
    <w:rsid w:val="007E22F8"/>
    <w:rsid w:val="007E43F1"/>
    <w:rsid w:val="007F3E44"/>
    <w:rsid w:val="008205DA"/>
    <w:rsid w:val="00866219"/>
    <w:rsid w:val="00896AD0"/>
    <w:rsid w:val="008A1E14"/>
    <w:rsid w:val="008A6F7C"/>
    <w:rsid w:val="008B0D3B"/>
    <w:rsid w:val="008E1096"/>
    <w:rsid w:val="008E6524"/>
    <w:rsid w:val="008F0741"/>
    <w:rsid w:val="00936917"/>
    <w:rsid w:val="0096061A"/>
    <w:rsid w:val="00966FDA"/>
    <w:rsid w:val="00977F0C"/>
    <w:rsid w:val="009A3ED4"/>
    <w:rsid w:val="009E78A3"/>
    <w:rsid w:val="00A11D6C"/>
    <w:rsid w:val="00A13512"/>
    <w:rsid w:val="00A34215"/>
    <w:rsid w:val="00A421F0"/>
    <w:rsid w:val="00A43095"/>
    <w:rsid w:val="00A461F9"/>
    <w:rsid w:val="00A6037D"/>
    <w:rsid w:val="00A82CF0"/>
    <w:rsid w:val="00AA1D8D"/>
    <w:rsid w:val="00AB750C"/>
    <w:rsid w:val="00B4585C"/>
    <w:rsid w:val="00B47730"/>
    <w:rsid w:val="00B77398"/>
    <w:rsid w:val="00B8242C"/>
    <w:rsid w:val="00B86F9C"/>
    <w:rsid w:val="00B938C5"/>
    <w:rsid w:val="00BC4AAA"/>
    <w:rsid w:val="00BC7808"/>
    <w:rsid w:val="00BE52E6"/>
    <w:rsid w:val="00BE6F98"/>
    <w:rsid w:val="00BE7B27"/>
    <w:rsid w:val="00C036B9"/>
    <w:rsid w:val="00C6370A"/>
    <w:rsid w:val="00C83023"/>
    <w:rsid w:val="00CB0664"/>
    <w:rsid w:val="00CB76AD"/>
    <w:rsid w:val="00CD104C"/>
    <w:rsid w:val="00CD234E"/>
    <w:rsid w:val="00CD2729"/>
    <w:rsid w:val="00CF3743"/>
    <w:rsid w:val="00D06814"/>
    <w:rsid w:val="00D25309"/>
    <w:rsid w:val="00D6420B"/>
    <w:rsid w:val="00D96337"/>
    <w:rsid w:val="00D96AE3"/>
    <w:rsid w:val="00DA6E87"/>
    <w:rsid w:val="00DC154A"/>
    <w:rsid w:val="00DC2054"/>
    <w:rsid w:val="00DD4940"/>
    <w:rsid w:val="00E75BF4"/>
    <w:rsid w:val="00EC3812"/>
    <w:rsid w:val="00EC5226"/>
    <w:rsid w:val="00ED7B44"/>
    <w:rsid w:val="00EF13E2"/>
    <w:rsid w:val="00F03807"/>
    <w:rsid w:val="00F1312A"/>
    <w:rsid w:val="00F17F96"/>
    <w:rsid w:val="00F21C7A"/>
    <w:rsid w:val="00F34497"/>
    <w:rsid w:val="00F45C79"/>
    <w:rsid w:val="00F748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56791"/>
  <w14:defaultImageDpi w14:val="300"/>
  <w15:docId w15:val="{E60C8607-A7F0-4663-8606-364F5F87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D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56CE0-A4CA-4147-B89A-C45206D4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B9B17602</Template>
  <TotalTime>87</TotalTime>
  <Pages>5</Pages>
  <Words>1183</Words>
  <Characters>6390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Maiara Maria Julio Pinto Ayres</cp:lastModifiedBy>
  <cp:revision>25</cp:revision>
  <cp:lastPrinted>2025-12-06T17:30:00Z</cp:lastPrinted>
  <dcterms:created xsi:type="dcterms:W3CDTF">2025-11-26T14:59:00Z</dcterms:created>
  <dcterms:modified xsi:type="dcterms:W3CDTF">2025-12-07T16:52:00Z</dcterms:modified>
  <cp:category/>
</cp:coreProperties>
</file>